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contextualSpacing/>
        <w:jc w:val="center"/>
        <w:textAlignment w:val="auto"/>
        <w:rPr>
          <w:rFonts w:hint="eastAsia" w:ascii="宋体" w:hAnsi="宋体" w:eastAsia="宋体" w:cs="Times New Roman"/>
          <w:b/>
          <w:sz w:val="44"/>
          <w:szCs w:val="44"/>
        </w:rPr>
      </w:pPr>
      <w:r>
        <w:rPr>
          <w:rFonts w:hint="eastAsia" w:ascii="宋体" w:hAnsi="宋体" w:eastAsia="宋体" w:cs="Times New Roman"/>
          <w:b/>
          <w:sz w:val="44"/>
          <w:szCs w:val="44"/>
        </w:rPr>
        <w:t>台山市市属企业国有资产处置管理办法</w:t>
      </w:r>
    </w:p>
    <w:p>
      <w:pPr>
        <w:keepNext w:val="0"/>
        <w:keepLines w:val="0"/>
        <w:pageBreakBefore w:val="0"/>
        <w:widowControl w:val="0"/>
        <w:kinsoku/>
        <w:wordWrap/>
        <w:overflowPunct/>
        <w:topLinePunct w:val="0"/>
        <w:autoSpaceDE/>
        <w:autoSpaceDN/>
        <w:bidi w:val="0"/>
        <w:adjustRightInd/>
        <w:snapToGrid/>
        <w:spacing w:line="560" w:lineRule="exact"/>
        <w:contextualSpacing/>
        <w:jc w:val="center"/>
        <w:textAlignment w:val="auto"/>
        <w:rPr>
          <w:rFonts w:hint="eastAsia" w:ascii="宋体" w:hAnsi="宋体" w:eastAsia="宋体" w:cs="Times New Roman"/>
          <w:b/>
          <w:sz w:val="44"/>
          <w:szCs w:val="44"/>
          <w:lang w:eastAsia="zh-CN"/>
        </w:rPr>
      </w:pPr>
      <w:r>
        <w:rPr>
          <w:rFonts w:hint="eastAsia" w:ascii="宋体" w:hAnsi="宋体" w:eastAsia="宋体" w:cs="Times New Roman"/>
          <w:b/>
          <w:sz w:val="44"/>
          <w:szCs w:val="44"/>
          <w:lang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contextualSpacing/>
        <w:jc w:val="center"/>
        <w:textAlignment w:val="auto"/>
        <w:rPr>
          <w:rFonts w:ascii="宋体" w:hAnsi="宋体" w:eastAsia="宋体" w:cs="Times New Roman"/>
          <w:b/>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Times New Roman"/>
          <w:sz w:val="32"/>
          <w:szCs w:val="32"/>
          <w:lang w:eastAsia="zh-CN"/>
        </w:rPr>
      </w:pPr>
      <w:r>
        <w:rPr>
          <w:rFonts w:hint="eastAsia" w:ascii="仿宋_GB2312" w:hAnsi="仿宋" w:eastAsia="仿宋_GB2312" w:cs="Times New Roman"/>
          <w:b/>
          <w:sz w:val="32"/>
          <w:szCs w:val="32"/>
        </w:rPr>
        <w:t xml:space="preserve">第一条  </w:t>
      </w:r>
      <w:r>
        <w:rPr>
          <w:rFonts w:hint="eastAsia" w:ascii="仿宋_GB2312" w:hAnsi="仿宋" w:eastAsia="仿宋_GB2312" w:cs="Times New Roman"/>
          <w:sz w:val="32"/>
          <w:szCs w:val="32"/>
        </w:rPr>
        <w:t>为规范我市企业国有资产的处置行为，加强企业国有资产处置的监督管理，防止企业国有资产流失，</w:t>
      </w:r>
      <w:r>
        <w:rPr>
          <w:rFonts w:hint="eastAsia" w:ascii="仿宋_GB2312" w:hAnsi="仿宋" w:eastAsia="仿宋_GB2312" w:cs="Times New Roman"/>
          <w:i w:val="0"/>
          <w:iCs w:val="0"/>
          <w:caps w:val="0"/>
          <w:color w:val="000000"/>
          <w:spacing w:val="0"/>
          <w:sz w:val="32"/>
          <w:szCs w:val="32"/>
          <w:shd w:val="clear" w:fill="auto"/>
        </w:rPr>
        <w:t>根据《中华人民共和国企业国有资产法》《企业国有资产监督管理暂行条例》</w:t>
      </w:r>
      <w:r>
        <w:rPr>
          <w:rFonts w:hint="eastAsia" w:ascii="仿宋_GB2312" w:hAnsi="仿宋" w:eastAsia="仿宋_GB2312" w:cs="Times New Roman"/>
          <w:sz w:val="32"/>
          <w:szCs w:val="32"/>
          <w:highlight w:val="none"/>
        </w:rPr>
        <w:t>《企业国有资产交易监督管理办法》（国资委 财政部令第32号）等有关规定</w:t>
      </w:r>
      <w:r>
        <w:rPr>
          <w:rFonts w:hint="eastAsia" w:ascii="仿宋_GB2312" w:hAnsi="仿宋" w:eastAsia="仿宋_GB2312" w:cs="Times New Roman"/>
          <w:sz w:val="32"/>
          <w:szCs w:val="32"/>
        </w:rPr>
        <w:t>，结合我市实际，制定本办法。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Times New Roman"/>
          <w:b/>
          <w:sz w:val="32"/>
          <w:szCs w:val="32"/>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二</w:t>
      </w:r>
      <w:r>
        <w:rPr>
          <w:rFonts w:hint="eastAsia" w:ascii="仿宋_GB2312" w:hAnsi="仿宋" w:eastAsia="仿宋_GB2312" w:cs="Times New Roman"/>
          <w:b/>
          <w:sz w:val="32"/>
          <w:szCs w:val="32"/>
        </w:rPr>
        <w:t xml:space="preserve">条  </w:t>
      </w:r>
      <w:r>
        <w:rPr>
          <w:rFonts w:hint="eastAsia" w:ascii="仿宋_GB2312" w:hAnsi="仿宋" w:eastAsia="仿宋_GB2312" w:cs="Times New Roman"/>
          <w:b w:val="0"/>
          <w:sz w:val="32"/>
          <w:szCs w:val="32"/>
          <w:lang w:eastAsia="zh-CN"/>
        </w:rPr>
        <w:t>台山</w:t>
      </w:r>
      <w:r>
        <w:rPr>
          <w:rFonts w:hint="eastAsia" w:ascii="仿宋_GB2312" w:hAnsi="仿宋" w:eastAsia="仿宋_GB2312" w:cs="Times New Roman"/>
          <w:sz w:val="32"/>
          <w:szCs w:val="32"/>
        </w:rPr>
        <w:t>市公有资产管理委员会（以下简称市公资委）是我市企业国有资产的监督管理机构，市公有资产管理委员会办公室（以下简称市公资办）是市公资委的常设办事机构，具体负责对全市企业国有资产的处置事项进行审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cs="Times New Roman"/>
          <w:sz w:val="32"/>
          <w:szCs w:val="32"/>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三</w:t>
      </w:r>
      <w:r>
        <w:rPr>
          <w:rFonts w:hint="eastAsia" w:ascii="仿宋_GB2312" w:hAnsi="仿宋" w:eastAsia="仿宋_GB2312" w:cs="Times New Roman"/>
          <w:b/>
          <w:sz w:val="32"/>
          <w:szCs w:val="32"/>
        </w:rPr>
        <w:t xml:space="preserve">条  </w:t>
      </w:r>
      <w:r>
        <w:rPr>
          <w:rFonts w:hint="eastAsia" w:ascii="仿宋_GB2312" w:hAnsi="仿宋" w:eastAsia="仿宋_GB2312" w:cs="Times New Roman"/>
          <w:sz w:val="32"/>
          <w:szCs w:val="32"/>
        </w:rPr>
        <w:t>本办法适用于我市政府授权市公有资产管理委员会</w:t>
      </w:r>
      <w:r>
        <w:rPr>
          <w:rFonts w:hint="eastAsia" w:ascii="仿宋_GB2312" w:hAnsi="仿宋" w:eastAsia="仿宋_GB2312" w:cs="Times New Roman"/>
          <w:b w:val="0"/>
          <w:bCs w:val="0"/>
          <w:sz w:val="32"/>
          <w:szCs w:val="32"/>
          <w:u w:val="none"/>
          <w:lang w:eastAsia="zh-CN"/>
        </w:rPr>
        <w:t>办公室</w:t>
      </w:r>
      <w:r>
        <w:rPr>
          <w:rFonts w:hint="eastAsia" w:ascii="仿宋_GB2312" w:hAnsi="仿宋" w:eastAsia="仿宋_GB2312" w:cs="Times New Roman"/>
          <w:sz w:val="32"/>
          <w:szCs w:val="32"/>
        </w:rPr>
        <w:t>直接履行出资人职责的国有独资企业、国有控股企业及国有参股企业中的国有资产处置的监督管理。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我市金融机构中的国有资产处置的监督管理，不适用本办法。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b w:val="0"/>
          <w:sz w:val="32"/>
          <w:szCs w:val="32"/>
          <w:highlight w:val="none"/>
          <w:lang w:eastAsia="zh-CN"/>
        </w:rPr>
        <w:t>镇</w:t>
      </w:r>
      <w:r>
        <w:rPr>
          <w:rFonts w:hint="eastAsia" w:ascii="仿宋_GB2312" w:hAnsi="仿宋" w:eastAsia="仿宋_GB2312" w:cs="Times New Roman"/>
          <w:b w:val="0"/>
          <w:sz w:val="32"/>
          <w:szCs w:val="32"/>
          <w:highlight w:val="none"/>
        </w:rPr>
        <w:t>属企业国有</w:t>
      </w:r>
      <w:r>
        <w:rPr>
          <w:rFonts w:hint="eastAsia" w:ascii="仿宋_GB2312" w:hAnsi="仿宋" w:eastAsia="仿宋_GB2312" w:cs="Times New Roman"/>
          <w:b w:val="0"/>
          <w:sz w:val="32"/>
          <w:szCs w:val="32"/>
          <w:highlight w:val="none"/>
          <w:lang w:eastAsia="zh-CN"/>
        </w:rPr>
        <w:t>（集体）</w:t>
      </w:r>
      <w:r>
        <w:rPr>
          <w:rFonts w:hint="eastAsia" w:ascii="仿宋_GB2312" w:hAnsi="仿宋" w:eastAsia="仿宋_GB2312" w:cs="Times New Roman"/>
          <w:b w:val="0"/>
          <w:sz w:val="32"/>
          <w:szCs w:val="32"/>
          <w:highlight w:val="none"/>
        </w:rPr>
        <w:t>资产</w:t>
      </w:r>
      <w:r>
        <w:rPr>
          <w:rFonts w:hint="eastAsia" w:ascii="仿宋_GB2312" w:hAnsi="仿宋" w:eastAsia="仿宋_GB2312" w:cs="Times New Roman"/>
          <w:b w:val="0"/>
          <w:sz w:val="32"/>
          <w:szCs w:val="32"/>
          <w:highlight w:val="none"/>
          <w:lang w:eastAsia="zh-CN"/>
        </w:rPr>
        <w:t>处置管理参照本规定执行，属地政府履行所属企业主管部门责职。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cs="Times New Roman"/>
          <w:sz w:val="32"/>
          <w:szCs w:val="32"/>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四</w:t>
      </w:r>
      <w:r>
        <w:rPr>
          <w:rFonts w:hint="eastAsia" w:ascii="仿宋_GB2312" w:hAnsi="仿宋" w:eastAsia="仿宋_GB2312" w:cs="Times New Roman"/>
          <w:b/>
          <w:sz w:val="32"/>
          <w:szCs w:val="32"/>
        </w:rPr>
        <w:t xml:space="preserve">条  </w:t>
      </w:r>
      <w:r>
        <w:rPr>
          <w:rFonts w:hint="eastAsia" w:ascii="仿宋_GB2312" w:hAnsi="仿宋" w:eastAsia="仿宋_GB2312" w:cs="Times New Roman"/>
          <w:sz w:val="32"/>
          <w:szCs w:val="32"/>
        </w:rPr>
        <w:t>本办法所称企业国有资产处置是指企业对其所占有、使用的国有资产进行权益转让或注销的行为，主要包括：转让、出租、抵押</w:t>
      </w:r>
      <w:r>
        <w:rPr>
          <w:rFonts w:hint="eastAsia" w:ascii="仿宋_GB2312" w:hAnsi="仿宋" w:eastAsia="仿宋_GB2312" w:cs="Times New Roman"/>
          <w:sz w:val="32"/>
          <w:szCs w:val="32"/>
          <w:lang w:eastAsia="zh-CN"/>
        </w:rPr>
        <w:t>、质押</w:t>
      </w:r>
      <w:r>
        <w:rPr>
          <w:rFonts w:hint="eastAsia" w:ascii="仿宋_GB2312" w:hAnsi="仿宋" w:eastAsia="仿宋_GB2312" w:cs="Times New Roman"/>
          <w:sz w:val="32"/>
          <w:szCs w:val="32"/>
        </w:rPr>
        <w:t>、调出、置换、</w:t>
      </w:r>
      <w:r>
        <w:rPr>
          <w:rFonts w:hint="eastAsia" w:ascii="仿宋_GB2312" w:hAnsi="仿宋" w:eastAsia="仿宋_GB2312" w:cs="Times New Roman"/>
          <w:sz w:val="32"/>
          <w:szCs w:val="32"/>
          <w:lang w:eastAsia="zh-CN"/>
        </w:rPr>
        <w:t>无偿划拨（使用）、</w:t>
      </w:r>
      <w:r>
        <w:rPr>
          <w:rFonts w:hint="eastAsia" w:ascii="仿宋_GB2312" w:hAnsi="仿宋" w:eastAsia="仿宋_GB2312" w:cs="Times New Roman"/>
          <w:sz w:val="32"/>
          <w:szCs w:val="32"/>
        </w:rPr>
        <w:t>对外捐赠、报废、报损</w:t>
      </w:r>
      <w:r>
        <w:rPr>
          <w:rFonts w:hint="eastAsia" w:ascii="仿宋_GB2312" w:hAnsi="仿宋" w:eastAsia="仿宋_GB2312" w:cs="Times New Roman"/>
          <w:sz w:val="32"/>
          <w:szCs w:val="32"/>
          <w:lang w:eastAsia="zh-CN"/>
        </w:rPr>
        <w:t>以及担保、借款、固定资产投资项目接收</w:t>
      </w:r>
      <w:r>
        <w:rPr>
          <w:rFonts w:hint="eastAsia" w:ascii="仿宋_GB2312" w:hAnsi="仿宋" w:eastAsia="仿宋_GB2312" w:cs="Times New Roman"/>
          <w:sz w:val="32"/>
          <w:szCs w:val="32"/>
        </w:rPr>
        <w:t>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cs="Times New Roman"/>
          <w:sz w:val="32"/>
          <w:szCs w:val="32"/>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五</w:t>
      </w:r>
      <w:r>
        <w:rPr>
          <w:rFonts w:hint="eastAsia" w:ascii="仿宋_GB2312" w:hAnsi="仿宋" w:eastAsia="仿宋_GB2312" w:cs="Times New Roman"/>
          <w:b/>
          <w:sz w:val="32"/>
          <w:szCs w:val="32"/>
        </w:rPr>
        <w:t xml:space="preserve">条  </w:t>
      </w:r>
      <w:r>
        <w:rPr>
          <w:rFonts w:hint="eastAsia" w:ascii="仿宋_GB2312" w:hAnsi="仿宋" w:eastAsia="仿宋_GB2312" w:cs="Times New Roman"/>
          <w:sz w:val="32"/>
          <w:szCs w:val="32"/>
        </w:rPr>
        <w:t>存在以下情形之一的，禁止将企业有关国有资产列入处置范围：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（一）有关规定禁止或限制处置的；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（二）存在产权纠纷或产权关系不清、尚未界定的；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（三）合法契约约定期限内不得转让或不宜转让的（受让方承认并愿意承接契约内约定的事项除外）；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（四）人民法院、有权仲裁机构和行政执法机关通知冻结的；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（五）存在其他不宜转让情形的。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highlight w:val="yellow"/>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六</w:t>
      </w:r>
      <w:r>
        <w:rPr>
          <w:rFonts w:hint="eastAsia" w:ascii="仿宋_GB2312" w:hAnsi="仿宋" w:eastAsia="仿宋_GB2312" w:cs="Times New Roman"/>
          <w:b/>
          <w:sz w:val="32"/>
          <w:szCs w:val="32"/>
        </w:rPr>
        <w:t>条</w:t>
      </w:r>
      <w:r>
        <w:rPr>
          <w:rFonts w:hint="eastAsia" w:ascii="仿宋_GB2312" w:hAnsi="仿宋" w:eastAsia="仿宋_GB2312" w:cs="Times New Roman"/>
          <w:b/>
          <w:sz w:val="32"/>
          <w:szCs w:val="32"/>
          <w:lang w:val="en-US" w:eastAsia="zh-CN"/>
        </w:rPr>
        <w:t xml:space="preserve">  </w:t>
      </w:r>
      <w:r>
        <w:rPr>
          <w:rFonts w:hint="eastAsia" w:ascii="仿宋_GB2312" w:hAnsi="仿宋" w:eastAsia="仿宋_GB2312" w:cs="Times New Roman"/>
          <w:sz w:val="32"/>
          <w:szCs w:val="32"/>
        </w:rPr>
        <w:t>企业国有资产处置涉及交易主体资格审查</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反垄断审查、特许经营权、国有划拨土地使用权、探矿权和采矿权等政府审批事项的，按照相关规定执行。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Times New Roman"/>
          <w:sz w:val="32"/>
          <w:szCs w:val="32"/>
          <w:lang w:eastAsia="zh-CN"/>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七</w:t>
      </w:r>
      <w:r>
        <w:rPr>
          <w:rFonts w:hint="eastAsia" w:ascii="仿宋_GB2312" w:hAnsi="仿宋" w:eastAsia="仿宋_GB2312" w:cs="Times New Roman"/>
          <w:b/>
          <w:sz w:val="32"/>
          <w:szCs w:val="32"/>
        </w:rPr>
        <w:t xml:space="preserve">条 </w:t>
      </w:r>
      <w:r>
        <w:rPr>
          <w:rFonts w:hint="eastAsia" w:ascii="仿宋_GB2312" w:hAnsi="仿宋" w:eastAsia="仿宋_GB2312" w:cs="Times New Roman"/>
          <w:b w:val="0"/>
          <w:sz w:val="32"/>
          <w:szCs w:val="32"/>
        </w:rPr>
        <w:t xml:space="preserve"> </w:t>
      </w:r>
      <w:r>
        <w:rPr>
          <w:rFonts w:hint="eastAsia" w:ascii="仿宋_GB2312" w:hAnsi="仿宋" w:eastAsia="仿宋_GB2312" w:cs="Times New Roman"/>
          <w:sz w:val="32"/>
          <w:szCs w:val="32"/>
        </w:rPr>
        <w:t>企业国有资产处置</w:t>
      </w:r>
      <w:r>
        <w:rPr>
          <w:rFonts w:hint="eastAsia" w:ascii="仿宋_GB2312" w:hAnsi="仿宋" w:eastAsia="仿宋_GB2312" w:cs="Times New Roman"/>
          <w:sz w:val="32"/>
          <w:szCs w:val="32"/>
          <w:highlight w:val="none"/>
        </w:rPr>
        <w:t>按以下权限</w:t>
      </w:r>
      <w:r>
        <w:rPr>
          <w:rFonts w:hint="eastAsia" w:ascii="仿宋_GB2312" w:hAnsi="仿宋" w:eastAsia="仿宋_GB2312" w:cs="Times New Roman"/>
          <w:sz w:val="32"/>
          <w:szCs w:val="32"/>
          <w:highlight w:val="none"/>
          <w:lang w:eastAsia="zh-CN"/>
        </w:rPr>
        <w:t>审批，</w:t>
      </w:r>
      <w:r>
        <w:rPr>
          <w:rFonts w:hint="eastAsia" w:ascii="仿宋_GB2312" w:hAnsi="仿宋" w:eastAsia="仿宋_GB2312" w:cs="Times New Roman"/>
          <w:sz w:val="32"/>
          <w:szCs w:val="32"/>
          <w:lang w:eastAsia="zh-CN"/>
        </w:rPr>
        <w:t>审批单位</w:t>
      </w:r>
      <w:r>
        <w:rPr>
          <w:rFonts w:hint="eastAsia" w:ascii="仿宋_GB2312" w:hAnsi="仿宋" w:eastAsia="仿宋_GB2312" w:cs="Times New Roman"/>
          <w:sz w:val="32"/>
          <w:szCs w:val="32"/>
        </w:rPr>
        <w:t>应对资产处置事项提出书面意见</w:t>
      </w:r>
      <w:r>
        <w:rPr>
          <w:rFonts w:hint="eastAsia" w:ascii="仿宋_GB2312" w:hAnsi="仿宋"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sz w:val="32"/>
          <w:szCs w:val="32"/>
          <w:highlight w:val="none"/>
          <w:u w:val="none"/>
        </w:rPr>
      </w:pPr>
      <w:r>
        <w:rPr>
          <w:rFonts w:hint="eastAsia" w:ascii="仿宋_GB2312" w:hAnsi="仿宋" w:eastAsia="仿宋_GB2312" w:cs="Times New Roman"/>
          <w:b w:val="0"/>
          <w:bCs w:val="0"/>
          <w:sz w:val="32"/>
          <w:szCs w:val="32"/>
          <w:highlight w:val="none"/>
          <w:u w:val="none"/>
        </w:rPr>
        <w:t>（</w:t>
      </w:r>
      <w:r>
        <w:rPr>
          <w:rFonts w:hint="eastAsia" w:ascii="仿宋_GB2312" w:hAnsi="仿宋" w:eastAsia="仿宋_GB2312" w:cs="Times New Roman"/>
          <w:b w:val="0"/>
          <w:bCs w:val="0"/>
          <w:sz w:val="32"/>
          <w:szCs w:val="32"/>
          <w:highlight w:val="none"/>
          <w:u w:val="none"/>
          <w:lang w:eastAsia="zh-CN"/>
        </w:rPr>
        <w:t>一）</w:t>
      </w:r>
      <w:r>
        <w:rPr>
          <w:rFonts w:hint="eastAsia" w:ascii="仿宋_GB2312" w:hAnsi="仿宋" w:eastAsia="仿宋_GB2312" w:cs="Times New Roman"/>
          <w:b w:val="0"/>
          <w:bCs w:val="0"/>
          <w:sz w:val="32"/>
          <w:szCs w:val="32"/>
          <w:highlight w:val="none"/>
          <w:u w:val="none"/>
        </w:rPr>
        <w:t>处置现行评估值或租期内</w:t>
      </w:r>
      <w:r>
        <w:rPr>
          <w:rFonts w:hint="eastAsia" w:ascii="仿宋_GB2312" w:hAnsi="仿宋" w:eastAsia="仿宋_GB2312" w:cs="Times New Roman"/>
          <w:b w:val="0"/>
          <w:bCs w:val="0"/>
          <w:sz w:val="32"/>
          <w:szCs w:val="32"/>
          <w:highlight w:val="none"/>
          <w:u w:val="none"/>
          <w:lang w:eastAsia="zh-CN"/>
        </w:rPr>
        <w:t>每年年</w:t>
      </w:r>
      <w:r>
        <w:rPr>
          <w:rFonts w:hint="eastAsia" w:ascii="仿宋_GB2312" w:hAnsi="仿宋" w:eastAsia="仿宋_GB2312" w:cs="Times New Roman"/>
          <w:b w:val="0"/>
          <w:bCs w:val="0"/>
          <w:sz w:val="32"/>
          <w:szCs w:val="32"/>
          <w:highlight w:val="none"/>
          <w:u w:val="none"/>
        </w:rPr>
        <w:t>租金总额评估值在</w:t>
      </w:r>
      <w:r>
        <w:rPr>
          <w:rFonts w:hint="eastAsia" w:ascii="仿宋_GB2312" w:hAnsi="仿宋" w:eastAsia="仿宋_GB2312" w:cs="Times New Roman"/>
          <w:b w:val="0"/>
          <w:bCs w:val="0"/>
          <w:sz w:val="32"/>
          <w:szCs w:val="32"/>
          <w:highlight w:val="none"/>
          <w:u w:val="none"/>
          <w:lang w:val="en-US" w:eastAsia="zh-CN"/>
        </w:rPr>
        <w:t>5</w:t>
      </w:r>
      <w:r>
        <w:rPr>
          <w:rFonts w:hint="eastAsia" w:ascii="仿宋_GB2312" w:hAnsi="仿宋" w:eastAsia="仿宋_GB2312" w:cs="Times New Roman"/>
          <w:b w:val="0"/>
          <w:bCs w:val="0"/>
          <w:sz w:val="32"/>
          <w:szCs w:val="32"/>
          <w:highlight w:val="none"/>
          <w:u w:val="none"/>
        </w:rPr>
        <w:t>万元以下（不含</w:t>
      </w:r>
      <w:r>
        <w:rPr>
          <w:rFonts w:hint="eastAsia" w:ascii="仿宋_GB2312" w:hAnsi="仿宋" w:eastAsia="仿宋_GB2312" w:cs="Times New Roman"/>
          <w:b w:val="0"/>
          <w:bCs w:val="0"/>
          <w:sz w:val="32"/>
          <w:szCs w:val="32"/>
          <w:highlight w:val="none"/>
          <w:u w:val="none"/>
          <w:lang w:val="en-US" w:eastAsia="zh-CN"/>
        </w:rPr>
        <w:t>5</w:t>
      </w:r>
      <w:r>
        <w:rPr>
          <w:rFonts w:hint="eastAsia" w:ascii="仿宋_GB2312" w:hAnsi="仿宋" w:eastAsia="仿宋_GB2312" w:cs="Times New Roman"/>
          <w:b w:val="0"/>
          <w:bCs w:val="0"/>
          <w:sz w:val="32"/>
          <w:szCs w:val="32"/>
          <w:highlight w:val="none"/>
          <w:u w:val="none"/>
        </w:rPr>
        <w:t>万元）的资产，由企业决策层（含董事会）召开会议作出决议执行。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sz w:val="32"/>
          <w:szCs w:val="32"/>
          <w:highlight w:val="none"/>
          <w:u w:val="none"/>
        </w:rPr>
      </w:pPr>
      <w:r>
        <w:rPr>
          <w:rFonts w:hint="eastAsia" w:ascii="仿宋_GB2312" w:hAnsi="仿宋" w:eastAsia="仿宋_GB2312" w:cs="Times New Roman"/>
          <w:b w:val="0"/>
          <w:bCs w:val="0"/>
          <w:sz w:val="32"/>
          <w:szCs w:val="32"/>
          <w:highlight w:val="none"/>
          <w:u w:val="none"/>
        </w:rPr>
        <w:t>（</w:t>
      </w:r>
      <w:r>
        <w:rPr>
          <w:rFonts w:hint="eastAsia" w:ascii="仿宋_GB2312" w:hAnsi="仿宋" w:eastAsia="仿宋_GB2312" w:cs="Times New Roman"/>
          <w:b w:val="0"/>
          <w:bCs w:val="0"/>
          <w:sz w:val="32"/>
          <w:szCs w:val="32"/>
          <w:highlight w:val="none"/>
          <w:u w:val="none"/>
          <w:lang w:eastAsia="zh-CN"/>
        </w:rPr>
        <w:t>二</w:t>
      </w:r>
      <w:r>
        <w:rPr>
          <w:rFonts w:hint="eastAsia" w:ascii="仿宋_GB2312" w:hAnsi="仿宋" w:eastAsia="仿宋_GB2312" w:cs="Times New Roman"/>
          <w:b w:val="0"/>
          <w:bCs w:val="0"/>
          <w:sz w:val="32"/>
          <w:szCs w:val="32"/>
          <w:highlight w:val="none"/>
          <w:u w:val="none"/>
        </w:rPr>
        <w:t>）处置现行评估值或租期内</w:t>
      </w:r>
      <w:r>
        <w:rPr>
          <w:rFonts w:hint="eastAsia" w:ascii="仿宋_GB2312" w:hAnsi="仿宋" w:eastAsia="仿宋_GB2312" w:cs="Times New Roman"/>
          <w:b w:val="0"/>
          <w:bCs w:val="0"/>
          <w:sz w:val="32"/>
          <w:szCs w:val="32"/>
          <w:highlight w:val="none"/>
          <w:u w:val="none"/>
          <w:lang w:eastAsia="zh-CN"/>
        </w:rPr>
        <w:t>每年年</w:t>
      </w:r>
      <w:r>
        <w:rPr>
          <w:rFonts w:hint="eastAsia" w:ascii="仿宋_GB2312" w:hAnsi="仿宋" w:eastAsia="仿宋_GB2312" w:cs="Times New Roman"/>
          <w:b w:val="0"/>
          <w:bCs w:val="0"/>
          <w:sz w:val="32"/>
          <w:szCs w:val="32"/>
          <w:highlight w:val="none"/>
          <w:u w:val="none"/>
        </w:rPr>
        <w:t>租金总额评估值在</w:t>
      </w:r>
      <w:r>
        <w:rPr>
          <w:rFonts w:hint="eastAsia" w:ascii="仿宋_GB2312" w:hAnsi="仿宋" w:eastAsia="仿宋_GB2312" w:cs="Times New Roman"/>
          <w:b w:val="0"/>
          <w:bCs w:val="0"/>
          <w:sz w:val="32"/>
          <w:szCs w:val="32"/>
          <w:highlight w:val="none"/>
          <w:u w:val="none"/>
          <w:lang w:val="en-US" w:eastAsia="zh-CN"/>
        </w:rPr>
        <w:t>5-</w:t>
      </w:r>
      <w:r>
        <w:rPr>
          <w:rFonts w:hint="eastAsia" w:ascii="仿宋_GB2312" w:hAnsi="仿宋" w:eastAsia="仿宋_GB2312" w:cs="Times New Roman"/>
          <w:b w:val="0"/>
          <w:bCs w:val="0"/>
          <w:sz w:val="32"/>
          <w:szCs w:val="32"/>
          <w:highlight w:val="none"/>
          <w:u w:val="none"/>
        </w:rPr>
        <w:t>10万元</w:t>
      </w:r>
      <w:r>
        <w:rPr>
          <w:rFonts w:hint="eastAsia" w:ascii="仿宋_GB2312" w:hAnsi="仿宋" w:eastAsia="仿宋_GB2312" w:cs="Times New Roman"/>
          <w:b w:val="0"/>
          <w:bCs w:val="0"/>
          <w:sz w:val="32"/>
          <w:szCs w:val="32"/>
          <w:highlight w:val="none"/>
          <w:u w:val="none"/>
          <w:lang w:eastAsia="zh-CN"/>
        </w:rPr>
        <w:t>以内</w:t>
      </w:r>
      <w:r>
        <w:rPr>
          <w:rFonts w:hint="eastAsia" w:ascii="仿宋_GB2312" w:hAnsi="仿宋" w:eastAsia="仿宋_GB2312" w:cs="Times New Roman"/>
          <w:b w:val="0"/>
          <w:bCs w:val="0"/>
          <w:sz w:val="32"/>
          <w:szCs w:val="32"/>
          <w:highlight w:val="none"/>
          <w:u w:val="none"/>
        </w:rPr>
        <w:t>（</w:t>
      </w:r>
      <w:r>
        <w:rPr>
          <w:rFonts w:hint="eastAsia" w:ascii="仿宋_GB2312" w:hAnsi="仿宋" w:eastAsia="仿宋_GB2312" w:cs="Times New Roman"/>
          <w:b w:val="0"/>
          <w:bCs w:val="0"/>
          <w:sz w:val="32"/>
          <w:szCs w:val="32"/>
          <w:highlight w:val="none"/>
          <w:u w:val="none"/>
          <w:lang w:eastAsia="zh-CN"/>
        </w:rPr>
        <w:t>不</w:t>
      </w:r>
      <w:r>
        <w:rPr>
          <w:rFonts w:hint="eastAsia" w:ascii="仿宋_GB2312" w:hAnsi="仿宋" w:eastAsia="仿宋_GB2312" w:cs="Times New Roman"/>
          <w:b w:val="0"/>
          <w:bCs w:val="0"/>
          <w:sz w:val="32"/>
          <w:szCs w:val="32"/>
          <w:highlight w:val="none"/>
          <w:u w:val="none"/>
        </w:rPr>
        <w:t>含10万元）的资产，由企业所属一级平台企业审批。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sz w:val="32"/>
          <w:szCs w:val="32"/>
          <w:highlight w:val="none"/>
          <w:u w:val="none"/>
          <w:lang w:val="en-US" w:eastAsia="zh-CN"/>
        </w:rPr>
      </w:pPr>
      <w:r>
        <w:rPr>
          <w:rFonts w:hint="eastAsia" w:ascii="仿宋_GB2312" w:hAnsi="仿宋" w:eastAsia="仿宋_GB2312" w:cs="Times New Roman"/>
          <w:b w:val="0"/>
          <w:bCs w:val="0"/>
          <w:sz w:val="32"/>
          <w:szCs w:val="32"/>
          <w:highlight w:val="none"/>
          <w:u w:val="none"/>
          <w:lang w:eastAsia="zh-CN"/>
        </w:rPr>
        <w:t>（</w:t>
      </w:r>
      <w:r>
        <w:rPr>
          <w:rFonts w:hint="eastAsia" w:ascii="仿宋_GB2312" w:hAnsi="仿宋" w:eastAsia="仿宋_GB2312" w:cs="Times New Roman"/>
          <w:b w:val="0"/>
          <w:bCs w:val="0"/>
          <w:sz w:val="32"/>
          <w:szCs w:val="32"/>
          <w:highlight w:val="none"/>
          <w:u w:val="none"/>
          <w:lang w:val="en-US" w:eastAsia="zh-CN"/>
        </w:rPr>
        <w:t>三</w:t>
      </w:r>
      <w:r>
        <w:rPr>
          <w:rFonts w:hint="eastAsia" w:ascii="仿宋_GB2312" w:hAnsi="仿宋" w:eastAsia="仿宋_GB2312" w:cs="Times New Roman"/>
          <w:b w:val="0"/>
          <w:bCs w:val="0"/>
          <w:sz w:val="32"/>
          <w:szCs w:val="32"/>
          <w:highlight w:val="none"/>
          <w:u w:val="none"/>
          <w:lang w:eastAsia="zh-CN"/>
        </w:rPr>
        <w:t>）</w:t>
      </w:r>
      <w:r>
        <w:rPr>
          <w:rFonts w:hint="eastAsia" w:ascii="仿宋_GB2312" w:hAnsi="仿宋" w:eastAsia="仿宋_GB2312" w:cs="Times New Roman"/>
          <w:b w:val="0"/>
          <w:bCs w:val="0"/>
          <w:sz w:val="32"/>
          <w:szCs w:val="32"/>
          <w:highlight w:val="none"/>
          <w:u w:val="none"/>
        </w:rPr>
        <w:t>处置现行评估值或租期内</w:t>
      </w:r>
      <w:r>
        <w:rPr>
          <w:rFonts w:hint="eastAsia" w:ascii="仿宋_GB2312" w:hAnsi="仿宋" w:eastAsia="仿宋_GB2312" w:cs="Times New Roman"/>
          <w:b w:val="0"/>
          <w:bCs w:val="0"/>
          <w:sz w:val="32"/>
          <w:szCs w:val="32"/>
          <w:highlight w:val="none"/>
          <w:u w:val="none"/>
          <w:lang w:eastAsia="zh-CN"/>
        </w:rPr>
        <w:t>每年年</w:t>
      </w:r>
      <w:r>
        <w:rPr>
          <w:rFonts w:hint="eastAsia" w:ascii="仿宋_GB2312" w:hAnsi="仿宋" w:eastAsia="仿宋_GB2312" w:cs="Times New Roman"/>
          <w:b w:val="0"/>
          <w:bCs w:val="0"/>
          <w:sz w:val="32"/>
          <w:szCs w:val="32"/>
          <w:highlight w:val="none"/>
          <w:u w:val="none"/>
        </w:rPr>
        <w:t>租金总额评估值在</w:t>
      </w:r>
      <w:r>
        <w:rPr>
          <w:rFonts w:hint="eastAsia" w:ascii="仿宋_GB2312" w:hAnsi="仿宋" w:eastAsia="仿宋_GB2312" w:cs="Times New Roman"/>
          <w:b w:val="0"/>
          <w:bCs w:val="0"/>
          <w:sz w:val="32"/>
          <w:szCs w:val="32"/>
          <w:highlight w:val="none"/>
          <w:u w:val="none"/>
          <w:lang w:val="en-US" w:eastAsia="zh-CN"/>
        </w:rPr>
        <w:t>10-50万元以内（不含50万元）的资产，由企业所属主管部门审批。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sz w:val="32"/>
          <w:szCs w:val="32"/>
          <w:highlight w:val="none"/>
          <w:u w:val="none"/>
        </w:rPr>
      </w:pPr>
      <w:r>
        <w:rPr>
          <w:rFonts w:hint="eastAsia" w:ascii="仿宋_GB2312" w:hAnsi="仿宋" w:eastAsia="仿宋_GB2312" w:cs="Times New Roman"/>
          <w:b w:val="0"/>
          <w:bCs w:val="0"/>
          <w:sz w:val="32"/>
          <w:szCs w:val="32"/>
          <w:highlight w:val="none"/>
          <w:u w:val="none"/>
          <w:lang w:eastAsia="zh-CN"/>
        </w:rPr>
        <w:t>（</w:t>
      </w:r>
      <w:r>
        <w:rPr>
          <w:rFonts w:hint="eastAsia" w:ascii="仿宋_GB2312" w:hAnsi="仿宋" w:eastAsia="仿宋_GB2312" w:cs="Times New Roman"/>
          <w:b w:val="0"/>
          <w:bCs w:val="0"/>
          <w:sz w:val="32"/>
          <w:szCs w:val="32"/>
          <w:highlight w:val="none"/>
          <w:u w:val="none"/>
          <w:lang w:val="en-US" w:eastAsia="zh-CN"/>
        </w:rPr>
        <w:t>四</w:t>
      </w:r>
      <w:r>
        <w:rPr>
          <w:rFonts w:hint="eastAsia" w:ascii="仿宋_GB2312" w:hAnsi="仿宋" w:eastAsia="仿宋_GB2312" w:cs="Times New Roman"/>
          <w:b w:val="0"/>
          <w:bCs w:val="0"/>
          <w:sz w:val="32"/>
          <w:szCs w:val="32"/>
          <w:highlight w:val="none"/>
          <w:u w:val="none"/>
          <w:lang w:eastAsia="zh-CN"/>
        </w:rPr>
        <w:t>）</w:t>
      </w:r>
      <w:r>
        <w:rPr>
          <w:rFonts w:hint="eastAsia" w:ascii="仿宋_GB2312" w:hAnsi="仿宋" w:eastAsia="仿宋_GB2312" w:cs="Times New Roman"/>
          <w:b w:val="0"/>
          <w:bCs w:val="0"/>
          <w:sz w:val="32"/>
          <w:szCs w:val="32"/>
          <w:highlight w:val="none"/>
          <w:u w:val="none"/>
        </w:rPr>
        <w:t>处置现行评估值或租期内</w:t>
      </w:r>
      <w:r>
        <w:rPr>
          <w:rFonts w:hint="eastAsia" w:ascii="仿宋_GB2312" w:hAnsi="仿宋" w:eastAsia="仿宋_GB2312" w:cs="Times New Roman"/>
          <w:b w:val="0"/>
          <w:bCs w:val="0"/>
          <w:sz w:val="32"/>
          <w:szCs w:val="32"/>
          <w:highlight w:val="none"/>
          <w:u w:val="none"/>
          <w:lang w:eastAsia="zh-CN"/>
        </w:rPr>
        <w:t>每年年</w:t>
      </w:r>
      <w:r>
        <w:rPr>
          <w:rFonts w:hint="eastAsia" w:ascii="仿宋_GB2312" w:hAnsi="仿宋" w:eastAsia="仿宋_GB2312" w:cs="Times New Roman"/>
          <w:b w:val="0"/>
          <w:bCs w:val="0"/>
          <w:sz w:val="32"/>
          <w:szCs w:val="32"/>
          <w:highlight w:val="none"/>
          <w:u w:val="none"/>
        </w:rPr>
        <w:t>租金总额评估值在</w:t>
      </w:r>
      <w:r>
        <w:rPr>
          <w:rFonts w:hint="eastAsia" w:ascii="仿宋_GB2312" w:hAnsi="仿宋" w:eastAsia="仿宋_GB2312" w:cs="Times New Roman"/>
          <w:b w:val="0"/>
          <w:bCs w:val="0"/>
          <w:sz w:val="32"/>
          <w:szCs w:val="32"/>
          <w:highlight w:val="none"/>
          <w:u w:val="none"/>
          <w:lang w:val="en-US" w:eastAsia="zh-CN"/>
        </w:rPr>
        <w:t>50万元以上（含50万元）的资产，</w:t>
      </w:r>
      <w:r>
        <w:rPr>
          <w:rFonts w:hint="eastAsia" w:ascii="仿宋_GB2312" w:hAnsi="仿宋" w:eastAsia="仿宋_GB2312" w:cs="Times New Roman"/>
          <w:b w:val="0"/>
          <w:bCs w:val="0"/>
          <w:sz w:val="32"/>
          <w:szCs w:val="32"/>
          <w:highlight w:val="none"/>
          <w:u w:val="none"/>
        </w:rPr>
        <w:t>由企业所属主管部门初审后，报市政府审批。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涉及以上</w:t>
      </w:r>
      <w:r>
        <w:rPr>
          <w:rFonts w:hint="eastAsia" w:ascii="仿宋_GB2312" w:hAnsi="仿宋" w:eastAsia="仿宋_GB2312" w:cs="Times New Roman"/>
          <w:sz w:val="32"/>
          <w:szCs w:val="32"/>
          <w:lang w:eastAsia="zh-CN"/>
        </w:rPr>
        <w:t>四</w:t>
      </w:r>
      <w:r>
        <w:rPr>
          <w:rFonts w:hint="eastAsia" w:ascii="仿宋_GB2312" w:hAnsi="仿宋" w:eastAsia="仿宋_GB2312" w:cs="Times New Roman"/>
          <w:sz w:val="32"/>
          <w:szCs w:val="32"/>
        </w:rPr>
        <w:t>项的资产处置事项，每月由企业汇总报市公资办备案。</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b w:val="0"/>
          <w:bCs w:val="0"/>
          <w:sz w:val="32"/>
          <w:szCs w:val="32"/>
          <w:highlight w:val="none"/>
        </w:rPr>
      </w:pPr>
      <w:r>
        <w:rPr>
          <w:rFonts w:hint="eastAsia" w:ascii="仿宋_GB2312" w:hAnsi="仿宋" w:eastAsia="仿宋_GB2312" w:cs="Times New Roman"/>
          <w:b/>
          <w:sz w:val="32"/>
          <w:szCs w:val="32"/>
          <w:highlight w:val="none"/>
        </w:rPr>
        <w:t>第</w:t>
      </w:r>
      <w:r>
        <w:rPr>
          <w:rFonts w:hint="eastAsia" w:ascii="仿宋_GB2312" w:hAnsi="仿宋" w:eastAsia="仿宋_GB2312" w:cs="Times New Roman"/>
          <w:b/>
          <w:sz w:val="32"/>
          <w:szCs w:val="32"/>
          <w:highlight w:val="none"/>
          <w:lang w:eastAsia="zh-CN"/>
        </w:rPr>
        <w:t>八</w:t>
      </w:r>
      <w:r>
        <w:rPr>
          <w:rFonts w:hint="eastAsia" w:ascii="仿宋_GB2312" w:hAnsi="仿宋" w:eastAsia="仿宋_GB2312" w:cs="Times New Roman"/>
          <w:b/>
          <w:sz w:val="32"/>
          <w:szCs w:val="32"/>
          <w:highlight w:val="none"/>
        </w:rPr>
        <w:t xml:space="preserve">条  </w:t>
      </w:r>
      <w:r>
        <w:rPr>
          <w:rFonts w:hint="eastAsia" w:ascii="仿宋_GB2312" w:hAnsi="仿宋" w:eastAsia="仿宋_GB2312" w:cs="Times New Roman"/>
          <w:sz w:val="32"/>
          <w:szCs w:val="32"/>
          <w:highlight w:val="none"/>
        </w:rPr>
        <w:t>申请单位应当委托具有相应资质的评估机构对处置标的进行资产评估。申请单位提出申请时需报送有关评估资料并填写《资产评估项目核准申请表》《国有资产评估项目备案表》（各一式三份）。</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sz w:val="32"/>
          <w:szCs w:val="32"/>
          <w:lang w:eastAsia="zh-CN"/>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九</w:t>
      </w:r>
      <w:r>
        <w:rPr>
          <w:rFonts w:hint="eastAsia" w:ascii="仿宋_GB2312" w:hAnsi="仿宋" w:eastAsia="仿宋_GB2312" w:cs="Times New Roman"/>
          <w:b/>
          <w:sz w:val="32"/>
          <w:szCs w:val="32"/>
        </w:rPr>
        <w:t xml:space="preserve">条  </w:t>
      </w:r>
      <w:r>
        <w:rPr>
          <w:rFonts w:hint="eastAsia" w:ascii="仿宋_GB2312" w:hAnsi="仿宋" w:eastAsia="仿宋_GB2312" w:cs="Times New Roman"/>
          <w:sz w:val="32"/>
          <w:szCs w:val="32"/>
        </w:rPr>
        <w:t>企业国有资产转让、出租，应遵循“公平、公开、公正”的原则，在江门市公共资源交易中心台山分中心等法定产权交易机构进行。</w:t>
      </w:r>
      <w:r>
        <w:rPr>
          <w:rFonts w:hint="eastAsia" w:ascii="仿宋_GB2312" w:hAnsi="仿宋" w:eastAsia="仿宋_GB2312" w:cs="Times New Roman"/>
          <w:sz w:val="32"/>
          <w:szCs w:val="32"/>
          <w:lang w:eastAsia="zh-CN"/>
        </w:rPr>
        <w:t>申请单位</w:t>
      </w:r>
      <w:r>
        <w:rPr>
          <w:rFonts w:hint="eastAsia" w:ascii="仿宋_GB2312" w:hAnsi="仿宋" w:eastAsia="仿宋_GB2312" w:cs="Times New Roman"/>
          <w:i w:val="0"/>
          <w:iCs w:val="0"/>
          <w:caps w:val="0"/>
          <w:spacing w:val="0"/>
          <w:sz w:val="32"/>
          <w:szCs w:val="32"/>
          <w:shd w:val="clear"/>
        </w:rPr>
        <w:t>可以根据企业实际情况和工作进度安排，采取信息预披露和正式披露相结合的方式</w:t>
      </w:r>
      <w:r>
        <w:rPr>
          <w:rFonts w:hint="eastAsia" w:ascii="仿宋_GB2312" w:hAnsi="仿宋" w:eastAsia="仿宋_GB2312" w:cs="Times New Roman"/>
          <w:i w:val="0"/>
          <w:iCs w:val="0"/>
          <w:caps w:val="0"/>
          <w:spacing w:val="0"/>
          <w:sz w:val="32"/>
          <w:szCs w:val="32"/>
          <w:shd w:val="clear"/>
          <w:lang w:eastAsia="zh-CN"/>
        </w:rPr>
        <w:t>在</w:t>
      </w:r>
      <w:r>
        <w:rPr>
          <w:rFonts w:hint="eastAsia" w:ascii="仿宋_GB2312" w:hAnsi="仿宋" w:eastAsia="仿宋_GB2312" w:cs="Times New Roman"/>
          <w:sz w:val="32"/>
          <w:szCs w:val="32"/>
        </w:rPr>
        <w:t>江门市公共资源交易中心台山分中心等法定的交易机构在其门户网站上披露资产处置信息，其中，正式披露信息的时间</w:t>
      </w:r>
      <w:r>
        <w:rPr>
          <w:rFonts w:hint="eastAsia" w:ascii="仿宋_GB2312" w:hAnsi="仿宋" w:eastAsia="仿宋_GB2312" w:cs="Times New Roman"/>
          <w:sz w:val="32"/>
          <w:szCs w:val="32"/>
          <w:lang w:eastAsia="zh-CN"/>
        </w:rPr>
        <w:t>参照相关办法及交易规程执行</w:t>
      </w:r>
      <w:r>
        <w:rPr>
          <w:rFonts w:hint="eastAsia" w:ascii="仿宋_GB2312" w:hAnsi="仿宋"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lang w:eastAsia="zh-CN"/>
        </w:rPr>
        <w:t>（一）</w:t>
      </w:r>
      <w:r>
        <w:rPr>
          <w:rFonts w:hint="eastAsia" w:ascii="仿宋_GB2312" w:hAnsi="仿宋" w:eastAsia="仿宋_GB2312" w:cs="Times New Roman"/>
          <w:sz w:val="32"/>
          <w:szCs w:val="32"/>
        </w:rPr>
        <w:t>经公开征集产生两个或两个以上受让方</w:t>
      </w:r>
      <w:r>
        <w:rPr>
          <w:rFonts w:hint="eastAsia" w:ascii="仿宋_GB2312" w:hAnsi="仿宋" w:eastAsia="仿宋_GB2312" w:cs="Times New Roman"/>
          <w:sz w:val="32"/>
          <w:szCs w:val="32"/>
          <w:lang w:eastAsia="zh-CN"/>
        </w:rPr>
        <w:t>的</w:t>
      </w:r>
      <w:r>
        <w:rPr>
          <w:rFonts w:hint="eastAsia" w:ascii="仿宋_GB2312" w:hAnsi="仿宋" w:eastAsia="仿宋_GB2312" w:cs="Times New Roman"/>
          <w:sz w:val="32"/>
          <w:szCs w:val="32"/>
        </w:rPr>
        <w:t>，根据转让标的具体情况采取招投标或拍卖方式组织实施资产交易。采取拍卖方式交易的，应当按照《中华人民共和国拍卖法》及有关规定组织实施，在有关部门监督下公平进行；采取招投标方式转让公有资产的，应按照《中华人民共和国招标投标法》及有关规定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sz w:val="32"/>
          <w:szCs w:val="32"/>
          <w:highlight w:val="none"/>
          <w:u w:val="none"/>
        </w:rPr>
      </w:pPr>
      <w:r>
        <w:rPr>
          <w:rFonts w:hint="eastAsia" w:ascii="仿宋_GB2312" w:hAnsi="仿宋" w:eastAsia="仿宋_GB2312" w:cs="Times New Roman"/>
          <w:sz w:val="32"/>
          <w:szCs w:val="32"/>
          <w:lang w:eastAsia="zh-CN"/>
        </w:rPr>
        <w:t>（二）</w:t>
      </w:r>
      <w:r>
        <w:rPr>
          <w:rFonts w:hint="eastAsia" w:ascii="仿宋_GB2312" w:hAnsi="仿宋" w:eastAsia="仿宋_GB2312" w:cs="Times New Roman"/>
          <w:sz w:val="32"/>
          <w:szCs w:val="32"/>
        </w:rPr>
        <w:t>信息披露期满未征集到意向受让方的，可以延期或降低转让底价、变更受让条件后重新进行信息披露。</w:t>
      </w:r>
      <w:r>
        <w:rPr>
          <w:rFonts w:hint="eastAsia" w:ascii="仿宋_GB2312" w:hAnsi="仿宋" w:eastAsia="仿宋_GB2312" w:cs="Times New Roman"/>
          <w:b w:val="0"/>
          <w:bCs w:val="0"/>
          <w:sz w:val="32"/>
          <w:szCs w:val="32"/>
          <w:highlight w:val="none"/>
          <w:u w:val="none"/>
        </w:rPr>
        <w:t>新的转让底价低于评估结果的90%时，应当按规定重新审批;不低于评估结果的90%时，由资产权属企业自行确定转让底价并重新委托江门市公共资源交易中心台山分中心等法定的交易机构披露资产处置信息，公开征集受让者。</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仿宋_GB2312" w:eastAsia="仿宋_GB2312"/>
          <w:b w:val="0"/>
          <w:bCs w:val="0"/>
          <w:sz w:val="32"/>
          <w:szCs w:val="32"/>
          <w:highlight w:val="yellow"/>
          <w:u w:val="none"/>
        </w:rPr>
      </w:pPr>
      <w:r>
        <w:rPr>
          <w:rFonts w:hint="eastAsia" w:ascii="仿宋_GB2312" w:hAnsi="仿宋" w:eastAsia="仿宋_GB2312" w:cs="Times New Roman"/>
          <w:sz w:val="32"/>
          <w:szCs w:val="32"/>
          <w:lang w:eastAsia="zh-CN"/>
        </w:rPr>
        <w:t>（三）</w:t>
      </w:r>
      <w:r>
        <w:rPr>
          <w:rFonts w:hint="eastAsia" w:ascii="仿宋_GB2312" w:hAnsi="仿宋" w:eastAsia="仿宋_GB2312" w:cs="Times New Roman"/>
          <w:sz w:val="32"/>
          <w:szCs w:val="32"/>
        </w:rPr>
        <w:t>企业国有资产</w:t>
      </w:r>
      <w:r>
        <w:rPr>
          <w:rFonts w:hint="eastAsia" w:ascii="仿宋_GB2312" w:hAnsi="仿宋" w:eastAsia="仿宋_GB2312" w:cs="Times New Roman"/>
          <w:sz w:val="32"/>
          <w:szCs w:val="32"/>
          <w:lang w:eastAsia="zh-CN"/>
        </w:rPr>
        <w:t>处置</w:t>
      </w:r>
      <w:r>
        <w:rPr>
          <w:rFonts w:hint="eastAsia" w:ascii="仿宋_GB2312" w:hAnsi="仿宋" w:eastAsia="仿宋_GB2312" w:cs="Times New Roman"/>
          <w:sz w:val="32"/>
          <w:szCs w:val="32"/>
        </w:rPr>
        <w:t>事项自首次正式披露信息之日起超过12个月未征集到合格受让方的，应当重新履行审计、资产评估以及信息披露等工作程序。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cs="Times New Roman"/>
          <w:sz w:val="32"/>
          <w:szCs w:val="32"/>
        </w:rPr>
      </w:pPr>
      <w:r>
        <w:rPr>
          <w:rFonts w:hint="eastAsia" w:ascii="仿宋_GB2312" w:hAnsi="仿宋" w:eastAsia="仿宋_GB2312" w:cs="Times New Roman"/>
          <w:b/>
          <w:bCs/>
          <w:sz w:val="32"/>
          <w:szCs w:val="32"/>
          <w:lang w:eastAsia="zh-CN"/>
        </w:rPr>
        <w:t>第十条</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下列情况可以采取非公开协议转让方式：</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rPr>
        <w:t>（一）涉及主业处于关系国家安全、国民经济命脉的重要行业和关键领域企业的重组整合，对受让方有特殊要求，企业产权需要在国有及国有控股企业之间转让的，经国资监管机构批准，可以采取非公开协议转让方式；</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ascii="仿宋_GB2312" w:hAnsi="仿宋" w:eastAsia="仿宋_GB2312" w:cs="Times New Roman"/>
          <w:sz w:val="32"/>
          <w:szCs w:val="32"/>
        </w:rPr>
      </w:pPr>
      <w:r>
        <w:rPr>
          <w:rFonts w:hint="eastAsia" w:ascii="仿宋_GB2312" w:hAnsi="仿宋" w:eastAsia="仿宋_GB2312" w:cs="Times New Roman"/>
          <w:sz w:val="32"/>
          <w:szCs w:val="32"/>
          <w:highlight w:val="none"/>
        </w:rPr>
        <w:t>（二）同一国家出资企业及其各级控股企业或实际控制企业之间因实施内部重组整合进行产权转让的，经该国家出资企业审议决策，可以采取非公开协议转让方式。</w:t>
      </w:r>
      <w:r>
        <w:rPr>
          <w:rFonts w:hint="eastAsia" w:ascii="仿宋_GB2312" w:hAnsi="仿宋"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采取非公开协议转让方式进行交易的，转让方与受让方应进行充分协商，依法妥善处理转让中涉及的相关事项后，草签资产转让合同，并按本办法规定履行审批程序后，签订正式合同。采取非公开协议转让方式转让</w:t>
      </w:r>
      <w:r>
        <w:rPr>
          <w:rFonts w:hint="eastAsia" w:ascii="仿宋_GB2312" w:hAnsi="仿宋" w:eastAsia="仿宋_GB2312" w:cs="Times New Roman"/>
          <w:sz w:val="32"/>
          <w:szCs w:val="32"/>
          <w:lang w:eastAsia="zh-CN"/>
        </w:rPr>
        <w:t>资产的</w:t>
      </w:r>
      <w:r>
        <w:rPr>
          <w:rFonts w:hint="eastAsia" w:ascii="仿宋_GB2312" w:hAnsi="仿宋" w:eastAsia="仿宋_GB2312" w:cs="Times New Roman"/>
          <w:sz w:val="32"/>
          <w:szCs w:val="32"/>
        </w:rPr>
        <w:t>，转让价格不得低于经核准或备案的评估结果。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Times New Roman"/>
          <w:b/>
          <w:sz w:val="32"/>
          <w:szCs w:val="32"/>
          <w:highlight w:val="yellow"/>
        </w:rPr>
      </w:pPr>
      <w:r>
        <w:rPr>
          <w:rFonts w:hint="eastAsia" w:ascii="仿宋_GB2312" w:hAnsi="仿宋" w:eastAsia="仿宋_GB2312" w:cs="Times New Roman"/>
          <w:b/>
          <w:bCs/>
          <w:sz w:val="32"/>
          <w:szCs w:val="32"/>
          <w:highlight w:val="none"/>
        </w:rPr>
        <w:t>第十</w:t>
      </w:r>
      <w:r>
        <w:rPr>
          <w:rFonts w:hint="eastAsia" w:ascii="仿宋_GB2312" w:hAnsi="仿宋" w:eastAsia="仿宋_GB2312" w:cs="Times New Roman"/>
          <w:b/>
          <w:bCs/>
          <w:sz w:val="32"/>
          <w:szCs w:val="32"/>
          <w:highlight w:val="none"/>
          <w:lang w:eastAsia="zh-CN"/>
        </w:rPr>
        <w:t>一</w:t>
      </w:r>
      <w:r>
        <w:rPr>
          <w:rFonts w:hint="eastAsia" w:ascii="仿宋_GB2312" w:hAnsi="仿宋" w:eastAsia="仿宋_GB2312" w:cs="Times New Roman"/>
          <w:b/>
          <w:bCs/>
          <w:sz w:val="32"/>
          <w:szCs w:val="32"/>
          <w:highlight w:val="none"/>
        </w:rPr>
        <w:t>条</w:t>
      </w:r>
      <w:r>
        <w:rPr>
          <w:rFonts w:hint="eastAsia" w:ascii="仿宋_GB2312" w:hAnsi="仿宋" w:eastAsia="仿宋_GB2312" w:cs="Times New Roman"/>
          <w:b w:val="0"/>
          <w:sz w:val="32"/>
          <w:szCs w:val="32"/>
          <w:highlight w:val="none"/>
        </w:rPr>
        <w:t xml:space="preserve">  </w:t>
      </w:r>
      <w:r>
        <w:rPr>
          <w:rFonts w:hint="eastAsia" w:ascii="仿宋_GB2312" w:hAnsi="仿宋" w:eastAsia="仿宋_GB2312" w:cs="Times New Roman"/>
          <w:sz w:val="32"/>
          <w:szCs w:val="32"/>
          <w:highlight w:val="none"/>
        </w:rPr>
        <w:t>资产转让合同应就价款支付问题作以下约定：转让价款原则上应当一次性付清，如金额较大、一次性付清确有困难的，可以采取分期付款的方式。采取分期付款方式的，首期付款不得低于总价款的30%，并在合同生效之日起5个工作日内支付，其余款项应当提供合法的担保，并应当按合同期人民银行贷款基准利率向转让方支付延期付款期间资金占用费，付款期限不得超过1年。交易价款全额缴足后，方可办理产权变更手续。</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b/>
          <w:sz w:val="32"/>
          <w:szCs w:val="32"/>
          <w:highlight w:val="none"/>
        </w:rPr>
        <w:t>第</w:t>
      </w:r>
      <w:r>
        <w:rPr>
          <w:rFonts w:hint="eastAsia" w:ascii="仿宋_GB2312" w:hAnsi="仿宋" w:eastAsia="仿宋_GB2312" w:cs="Times New Roman"/>
          <w:b/>
          <w:sz w:val="32"/>
          <w:szCs w:val="32"/>
          <w:highlight w:val="none"/>
          <w:lang w:eastAsia="zh-CN"/>
        </w:rPr>
        <w:t>十二</w:t>
      </w:r>
      <w:r>
        <w:rPr>
          <w:rFonts w:hint="eastAsia" w:ascii="仿宋_GB2312" w:hAnsi="仿宋" w:eastAsia="仿宋_GB2312" w:cs="Times New Roman"/>
          <w:b/>
          <w:sz w:val="32"/>
          <w:szCs w:val="32"/>
          <w:highlight w:val="none"/>
        </w:rPr>
        <w:t xml:space="preserve">条  </w:t>
      </w:r>
      <w:r>
        <w:rPr>
          <w:rFonts w:hint="eastAsia" w:ascii="仿宋_GB2312" w:hAnsi="仿宋" w:eastAsia="仿宋_GB2312" w:cs="Times New Roman"/>
          <w:sz w:val="32"/>
          <w:szCs w:val="32"/>
          <w:highlight w:val="none"/>
        </w:rPr>
        <w:t>资产出租应遵守以下规定：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Times New Roman"/>
          <w:b w:val="0"/>
          <w:bCs w:val="0"/>
          <w:sz w:val="32"/>
          <w:szCs w:val="32"/>
          <w:highlight w:val="none"/>
          <w:u w:val="none"/>
          <w:lang w:val="en-US" w:eastAsia="zh-CN"/>
        </w:rPr>
      </w:pPr>
      <w:r>
        <w:rPr>
          <w:rFonts w:hint="eastAsia" w:ascii="仿宋_GB2312" w:hAnsi="仿宋" w:eastAsia="仿宋_GB2312" w:cs="Times New Roman"/>
          <w:sz w:val="32"/>
          <w:szCs w:val="32"/>
          <w:highlight w:val="none"/>
        </w:rPr>
        <w:t>（一）投入建设费用（包括消除安全隐患的投入）较大的，租期可在8至15年内设定</w:t>
      </w:r>
      <w:r>
        <w:rPr>
          <w:rFonts w:hint="eastAsia" w:ascii="仿宋_GB2312" w:hAnsi="仿宋" w:eastAsia="仿宋_GB2312" w:cs="Times New Roman"/>
          <w:b w:val="0"/>
          <w:bCs w:val="0"/>
          <w:sz w:val="32"/>
          <w:szCs w:val="32"/>
          <w:highlight w:val="none"/>
          <w:u w:val="none"/>
          <w:lang w:eastAsia="zh-CN"/>
        </w:rPr>
        <w:t>，特殊情况，租期不超过</w:t>
      </w:r>
      <w:r>
        <w:rPr>
          <w:rFonts w:hint="eastAsia" w:ascii="仿宋_GB2312" w:hAnsi="仿宋" w:eastAsia="仿宋_GB2312" w:cs="Times New Roman"/>
          <w:b w:val="0"/>
          <w:bCs w:val="0"/>
          <w:sz w:val="32"/>
          <w:szCs w:val="32"/>
          <w:highlight w:val="none"/>
          <w:u w:val="none"/>
          <w:lang w:val="en-US" w:eastAsia="zh-CN"/>
        </w:rPr>
        <w:t>20年。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rPr>
        <w:t>（二）资产位置偏僻，潜在承租者少的，租期可在8至15年内设定。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rPr>
        <w:t>（三）地段较好，商业氛围较好，升值潜力大的，租期不超过6年。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rPr>
        <w:t>（四）短期内政府有可能建设使用的，租期不超过3年。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rPr>
        <w:t>（五）资产存在瑕疵状况的，租期不超过6年。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Times New Roman"/>
          <w:sz w:val="32"/>
          <w:szCs w:val="32"/>
          <w:highlight w:val="none"/>
        </w:rPr>
      </w:pPr>
      <w:r>
        <w:rPr>
          <w:rFonts w:hint="eastAsia" w:ascii="仿宋_GB2312" w:hAnsi="仿宋" w:eastAsia="仿宋_GB2312" w:cs="Times New Roman"/>
          <w:b/>
          <w:bCs/>
          <w:sz w:val="32"/>
          <w:szCs w:val="32"/>
          <w:highlight w:val="none"/>
          <w:lang w:eastAsia="zh-CN"/>
        </w:rPr>
        <w:t>第十三</w:t>
      </w:r>
      <w:r>
        <w:rPr>
          <w:rFonts w:hint="eastAsia" w:ascii="仿宋_GB2312" w:hAnsi="仿宋" w:eastAsia="仿宋_GB2312" w:cs="Times New Roman"/>
          <w:b/>
          <w:bCs/>
          <w:sz w:val="32"/>
          <w:szCs w:val="32"/>
          <w:highlight w:val="none"/>
          <w:lang w:val="en-US" w:eastAsia="zh-CN"/>
        </w:rPr>
        <w:t>条</w:t>
      </w:r>
      <w:r>
        <w:rPr>
          <w:rFonts w:hint="eastAsia" w:ascii="仿宋_GB2312" w:hAnsi="仿宋" w:eastAsia="仿宋_GB2312" w:cs="Times New Roman"/>
          <w:sz w:val="32"/>
          <w:szCs w:val="32"/>
          <w:highlight w:val="none"/>
          <w:lang w:val="en-US" w:eastAsia="zh-CN"/>
        </w:rPr>
        <w:t xml:space="preserve">  </w:t>
      </w:r>
      <w:r>
        <w:rPr>
          <w:rFonts w:hint="eastAsia" w:ascii="仿宋_GB2312" w:hAnsi="仿宋" w:eastAsia="仿宋_GB2312" w:cs="Times New Roman"/>
          <w:sz w:val="32"/>
          <w:szCs w:val="32"/>
          <w:highlight w:val="none"/>
          <w:lang w:eastAsia="zh-CN"/>
        </w:rPr>
        <w:t>企业产权转让（指</w:t>
      </w:r>
      <w:r>
        <w:rPr>
          <w:rFonts w:hint="eastAsia" w:ascii="仿宋_GB2312" w:hAnsi="仿宋" w:eastAsia="仿宋_GB2312" w:cs="Times New Roman"/>
          <w:i w:val="0"/>
          <w:iCs w:val="0"/>
          <w:caps w:val="0"/>
          <w:color w:val="000000"/>
          <w:spacing w:val="0"/>
          <w:sz w:val="32"/>
          <w:szCs w:val="32"/>
          <w:highlight w:val="none"/>
          <w:shd w:val="clear" w:fill="auto"/>
        </w:rPr>
        <w:t>履行出资人职责的机构、国有及国有控股企业、国有实际控制企业转让其对企业各种形式出资所形成权益的行为</w:t>
      </w:r>
      <w:r>
        <w:rPr>
          <w:rFonts w:hint="eastAsia" w:ascii="仿宋_GB2312" w:hAnsi="仿宋" w:eastAsia="仿宋_GB2312" w:cs="Times New Roman"/>
          <w:sz w:val="32"/>
          <w:szCs w:val="32"/>
          <w:highlight w:val="none"/>
          <w:lang w:eastAsia="zh-CN"/>
        </w:rPr>
        <w:t>）</w:t>
      </w:r>
      <w:r>
        <w:rPr>
          <w:rFonts w:hint="eastAsia" w:ascii="仿宋_GB2312" w:hAnsi="仿宋" w:eastAsia="仿宋_GB2312" w:cs="Times New Roman"/>
          <w:sz w:val="32"/>
          <w:szCs w:val="32"/>
          <w:highlight w:val="none"/>
        </w:rPr>
        <w:t>应遵守以下规定：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rPr>
        <w:t>涉及</w:t>
      </w:r>
      <w:r>
        <w:rPr>
          <w:rFonts w:hint="eastAsia" w:ascii="仿宋_GB2312" w:hAnsi="仿宋" w:eastAsia="仿宋_GB2312" w:cs="Times New Roman"/>
          <w:b w:val="0"/>
          <w:bCs w:val="0"/>
          <w:sz w:val="32"/>
          <w:szCs w:val="32"/>
          <w:highlight w:val="none"/>
        </w:rPr>
        <w:t>企业产权</w:t>
      </w:r>
      <w:r>
        <w:rPr>
          <w:rFonts w:hint="eastAsia" w:ascii="仿宋_GB2312" w:hAnsi="仿宋" w:eastAsia="仿宋_GB2312" w:cs="Times New Roman"/>
          <w:sz w:val="32"/>
          <w:szCs w:val="32"/>
          <w:highlight w:val="none"/>
        </w:rPr>
        <w:t>转让</w:t>
      </w:r>
      <w:r>
        <w:rPr>
          <w:rFonts w:hint="eastAsia" w:ascii="仿宋_GB2312" w:hAnsi="仿宋" w:eastAsia="仿宋_GB2312" w:cs="Times New Roman"/>
          <w:sz w:val="32"/>
          <w:szCs w:val="32"/>
          <w:highlight w:val="none"/>
          <w:lang w:eastAsia="zh-CN"/>
        </w:rPr>
        <w:t>或无偿划拨</w:t>
      </w:r>
      <w:r>
        <w:rPr>
          <w:rFonts w:hint="eastAsia" w:ascii="仿宋_GB2312" w:hAnsi="仿宋" w:eastAsia="仿宋_GB2312" w:cs="Times New Roman"/>
          <w:sz w:val="32"/>
          <w:szCs w:val="32"/>
          <w:highlight w:val="none"/>
        </w:rPr>
        <w:t>的事项经批准后，由申请单位委托会计师事务所对处置标的企业进行审计。涉及参股权转让不宜单独进行专项审计的，申请单位应当取得转让标的企业最近一期年度审计报告。</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产权转让涉及职工安置事项的，安置方案应当经职工代表大会或职工大会审议通过；涉及债权债务处置事项的，应当符合国家相关法律法规的规定。</w:t>
      </w:r>
    </w:p>
    <w:p>
      <w:pPr>
        <w:keepNext w:val="0"/>
        <w:keepLines w:val="0"/>
        <w:pageBreakBefore w:val="0"/>
        <w:widowControl/>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b/>
          <w:sz w:val="32"/>
          <w:szCs w:val="32"/>
          <w:highlight w:val="yellow"/>
          <w:lang w:val="en-US" w:eastAsia="zh-CN"/>
        </w:rPr>
      </w:pPr>
      <w:r>
        <w:rPr>
          <w:rFonts w:hint="eastAsia" w:ascii="仿宋_GB2312" w:hAnsi="仿宋" w:eastAsia="仿宋_GB2312" w:cs="Times New Roman"/>
          <w:b/>
          <w:sz w:val="32"/>
          <w:szCs w:val="32"/>
          <w:lang w:eastAsia="zh-CN"/>
        </w:rPr>
        <w:t>第十四条</w:t>
      </w:r>
      <w:r>
        <w:rPr>
          <w:rFonts w:hint="eastAsia" w:ascii="仿宋_GB2312" w:hAnsi="仿宋" w:eastAsia="仿宋_GB2312" w:cs="Times New Roman"/>
          <w:b/>
          <w:sz w:val="32"/>
          <w:szCs w:val="32"/>
          <w:lang w:val="en-US" w:eastAsia="zh-CN"/>
        </w:rPr>
        <w:t xml:space="preserve"> </w:t>
      </w:r>
      <w:r>
        <w:rPr>
          <w:rFonts w:hint="eastAsia" w:ascii="仿宋_GB2312" w:hAnsi="仿宋" w:eastAsia="仿宋_GB2312" w:cs="Times New Roman"/>
          <w:b w:val="0"/>
          <w:sz w:val="32"/>
          <w:szCs w:val="32"/>
          <w:highlight w:val="none"/>
        </w:rPr>
        <w:t>市属国有企业借出资金</w:t>
      </w:r>
      <w:r>
        <w:rPr>
          <w:rFonts w:hint="eastAsia" w:ascii="仿宋_GB2312" w:hAnsi="仿宋" w:eastAsia="仿宋_GB2312" w:cs="Times New Roman"/>
          <w:b w:val="0"/>
          <w:sz w:val="32"/>
          <w:szCs w:val="32"/>
          <w:highlight w:val="none"/>
          <w:lang w:eastAsia="zh-CN"/>
        </w:rPr>
        <w:t>的，</w:t>
      </w:r>
      <w:r>
        <w:rPr>
          <w:rFonts w:hint="eastAsia" w:ascii="仿宋_GB2312" w:hAnsi="仿宋" w:eastAsia="仿宋_GB2312" w:cs="Times New Roman"/>
          <w:b w:val="0"/>
          <w:sz w:val="32"/>
          <w:szCs w:val="32"/>
          <w:highlight w:val="none"/>
        </w:rPr>
        <w:t>应签订借款合同</w:t>
      </w:r>
      <w:r>
        <w:rPr>
          <w:rFonts w:hint="eastAsia" w:ascii="仿宋_GB2312" w:hAnsi="仿宋" w:eastAsia="仿宋_GB2312" w:cs="Times New Roman"/>
          <w:b w:val="0"/>
          <w:sz w:val="32"/>
          <w:szCs w:val="32"/>
          <w:highlight w:val="none"/>
          <w:lang w:eastAsia="zh-CN"/>
        </w:rPr>
        <w:t>，约定还款计划以及计收利息，利率为企业融资利率上浮1%-2%</w:t>
      </w:r>
      <w:r>
        <w:rPr>
          <w:rFonts w:hint="eastAsia" w:ascii="仿宋_GB2312" w:hAnsi="仿宋" w:eastAsia="仿宋_GB2312" w:cs="Times New Roman"/>
          <w:b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i w:val="0"/>
          <w:iCs w:val="0"/>
          <w:caps w:val="0"/>
          <w:color w:val="424242"/>
          <w:spacing w:val="0"/>
          <w:sz w:val="32"/>
          <w:szCs w:val="32"/>
          <w:highlight w:val="none"/>
          <w:shd w:val="clear" w:fill="auto"/>
          <w:lang w:val="en-US" w:eastAsia="zh-CN"/>
        </w:rPr>
      </w:pPr>
      <w:r>
        <w:rPr>
          <w:rFonts w:hint="eastAsia" w:ascii="仿宋_GB2312" w:hAnsi="仿宋" w:eastAsia="仿宋_GB2312" w:cs="Times New Roman"/>
          <w:b/>
          <w:sz w:val="32"/>
          <w:szCs w:val="32"/>
          <w:lang w:val="en-US" w:eastAsia="zh-CN"/>
        </w:rPr>
        <w:t xml:space="preserve">第十五条 </w:t>
      </w:r>
      <w:r>
        <w:rPr>
          <w:rFonts w:hint="eastAsia" w:ascii="仿宋_GB2312" w:hAnsi="仿宋" w:eastAsia="仿宋_GB2312" w:cs="Times New Roman"/>
          <w:b w:val="0"/>
          <w:sz w:val="32"/>
          <w:szCs w:val="32"/>
          <w:highlight w:val="none"/>
          <w:lang w:val="en-US" w:eastAsia="zh-CN"/>
        </w:rPr>
        <w:t>市属国有企业提供担保的，</w:t>
      </w:r>
      <w:r>
        <w:rPr>
          <w:rFonts w:hint="eastAsia" w:ascii="仿宋_GB2312" w:hAnsi="仿宋" w:eastAsia="仿宋_GB2312" w:cs="Times New Roman"/>
          <w:b w:val="0"/>
          <w:sz w:val="32"/>
          <w:szCs w:val="32"/>
          <w:highlight w:val="none"/>
        </w:rPr>
        <w:t>应签订</w:t>
      </w:r>
      <w:r>
        <w:rPr>
          <w:rFonts w:hint="eastAsia" w:ascii="仿宋_GB2312" w:hAnsi="仿宋" w:eastAsia="仿宋_GB2312" w:cs="Times New Roman"/>
          <w:b w:val="0"/>
          <w:sz w:val="32"/>
          <w:szCs w:val="32"/>
          <w:highlight w:val="none"/>
          <w:lang w:eastAsia="zh-CN"/>
        </w:rPr>
        <w:t>担保</w:t>
      </w:r>
      <w:r>
        <w:rPr>
          <w:rFonts w:hint="eastAsia" w:ascii="仿宋_GB2312" w:hAnsi="仿宋" w:eastAsia="仿宋_GB2312" w:cs="Times New Roman"/>
          <w:b w:val="0"/>
          <w:sz w:val="32"/>
          <w:szCs w:val="32"/>
          <w:highlight w:val="none"/>
        </w:rPr>
        <w:t>合同</w:t>
      </w:r>
      <w:r>
        <w:rPr>
          <w:rFonts w:hint="eastAsia" w:ascii="仿宋_GB2312" w:hAnsi="仿宋" w:eastAsia="仿宋_GB2312" w:cs="Times New Roman"/>
          <w:b w:val="0"/>
          <w:sz w:val="32"/>
          <w:szCs w:val="32"/>
          <w:highlight w:val="none"/>
          <w:lang w:eastAsia="zh-CN"/>
        </w:rPr>
        <w:t>，约定担保期限以及收取服务费用，费率为担保总额的1%-2%</w:t>
      </w:r>
      <w:r>
        <w:rPr>
          <w:rFonts w:hint="eastAsia" w:ascii="仿宋_GB2312" w:hAnsi="仿宋" w:eastAsia="仿宋_GB2312" w:cs="Times New Roman"/>
          <w:b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sz w:val="32"/>
          <w:szCs w:val="32"/>
          <w:highlight w:val="none"/>
        </w:rPr>
      </w:pPr>
      <w:r>
        <w:rPr>
          <w:rFonts w:hint="eastAsia" w:ascii="仿宋_GB2312" w:hAnsi="仿宋" w:eastAsia="仿宋_GB2312" w:cs="Times New Roman"/>
          <w:b/>
          <w:sz w:val="32"/>
          <w:szCs w:val="32"/>
          <w:lang w:val="en-US" w:eastAsia="zh-CN"/>
        </w:rPr>
        <w:t>第十六条</w:t>
      </w:r>
      <w:r>
        <w:rPr>
          <w:rFonts w:hint="eastAsia" w:ascii="仿宋_GB2312" w:hAnsi="仿宋" w:eastAsia="仿宋_GB2312" w:cs="Times New Roman"/>
          <w:i w:val="0"/>
          <w:iCs w:val="0"/>
          <w:caps w:val="0"/>
          <w:color w:val="424242"/>
          <w:spacing w:val="0"/>
          <w:sz w:val="32"/>
          <w:szCs w:val="32"/>
          <w:highlight w:val="none"/>
          <w:shd w:val="clear" w:fill="auto"/>
          <w:lang w:val="en-US" w:eastAsia="zh-CN"/>
        </w:rPr>
        <w:t xml:space="preserve"> </w:t>
      </w:r>
      <w:r>
        <w:rPr>
          <w:rFonts w:hint="eastAsia" w:ascii="仿宋_GB2312" w:hAnsi="仿宋" w:eastAsia="仿宋_GB2312" w:cs="Times New Roman"/>
          <w:sz w:val="32"/>
          <w:szCs w:val="32"/>
          <w:lang w:eastAsia="zh-CN"/>
        </w:rPr>
        <w:t>固定资产投资项目接收</w:t>
      </w:r>
      <w:r>
        <w:rPr>
          <w:rFonts w:hint="eastAsia" w:ascii="仿宋_GB2312" w:hAnsi="仿宋" w:eastAsia="仿宋_GB2312" w:cs="Times New Roman"/>
          <w:sz w:val="32"/>
          <w:szCs w:val="32"/>
          <w:highlight w:val="none"/>
        </w:rPr>
        <w:t>应遵守以下规定：</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仿宋_GB2312" w:hAnsi="仿宋" w:eastAsia="仿宋_GB2312" w:cs="Times New Roman"/>
          <w:sz w:val="32"/>
          <w:szCs w:val="32"/>
          <w:highlight w:val="none"/>
          <w:lang w:eastAsia="zh-CN"/>
        </w:rPr>
      </w:pPr>
      <w:r>
        <w:rPr>
          <w:rFonts w:hint="eastAsia" w:ascii="仿宋_GB2312" w:hAnsi="仿宋" w:eastAsia="仿宋_GB2312" w:cs="Times New Roman"/>
          <w:sz w:val="32"/>
          <w:szCs w:val="32"/>
          <w:highlight w:val="none"/>
          <w:lang w:eastAsia="zh-CN"/>
        </w:rPr>
        <w:t>（一）</w:t>
      </w:r>
      <w:r>
        <w:rPr>
          <w:rFonts w:hint="eastAsia" w:ascii="仿宋_GB2312" w:hAnsi="仿宋" w:eastAsia="仿宋_GB2312" w:cs="Times New Roman"/>
          <w:sz w:val="32"/>
          <w:szCs w:val="32"/>
          <w:lang w:eastAsia="zh-CN"/>
        </w:rPr>
        <w:t>固定资产投资项目</w:t>
      </w:r>
      <w:r>
        <w:rPr>
          <w:rFonts w:hint="eastAsia" w:ascii="仿宋_GB2312" w:hAnsi="仿宋" w:eastAsia="仿宋_GB2312" w:cs="Times New Roman"/>
          <w:sz w:val="32"/>
          <w:szCs w:val="32"/>
          <w:highlight w:val="none"/>
          <w:lang w:eastAsia="zh-CN"/>
        </w:rPr>
        <w:t>应按有关规定组织验收。经</w:t>
      </w:r>
      <w:r>
        <w:rPr>
          <w:rFonts w:hint="eastAsia" w:ascii="仿宋_GB2312" w:hAnsi="仿宋" w:eastAsia="仿宋_GB2312" w:cs="Times New Roman"/>
          <w:sz w:val="32"/>
          <w:szCs w:val="32"/>
          <w:highlight w:val="none"/>
        </w:rPr>
        <w:t>验收合格后，</w:t>
      </w:r>
      <w:r>
        <w:rPr>
          <w:rFonts w:hint="eastAsia" w:ascii="仿宋_GB2312" w:hAnsi="仿宋" w:eastAsia="仿宋_GB2312" w:cs="Times New Roman"/>
          <w:b w:val="0"/>
          <w:sz w:val="32"/>
          <w:szCs w:val="32"/>
          <w:highlight w:val="none"/>
          <w:lang w:val="en-US" w:eastAsia="zh-CN"/>
        </w:rPr>
        <w:t>市属国有企业</w:t>
      </w:r>
      <w:r>
        <w:rPr>
          <w:rFonts w:hint="eastAsia" w:ascii="仿宋_GB2312" w:hAnsi="仿宋" w:eastAsia="仿宋_GB2312" w:cs="Times New Roman"/>
          <w:sz w:val="32"/>
          <w:szCs w:val="32"/>
          <w:highlight w:val="none"/>
        </w:rPr>
        <w:t>方可</w:t>
      </w:r>
      <w:r>
        <w:rPr>
          <w:rFonts w:hint="eastAsia" w:ascii="仿宋_GB2312" w:hAnsi="仿宋" w:eastAsia="仿宋_GB2312" w:cs="Times New Roman"/>
          <w:sz w:val="32"/>
          <w:szCs w:val="32"/>
          <w:highlight w:val="none"/>
          <w:lang w:eastAsia="zh-CN"/>
        </w:rPr>
        <w:t>接收运营。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highlight w:val="none"/>
        </w:rPr>
      </w:pPr>
      <w:r>
        <w:rPr>
          <w:rFonts w:hint="eastAsia" w:ascii="仿宋_GB2312" w:hAnsi="仿宋" w:eastAsia="仿宋_GB2312" w:cs="Times New Roman"/>
          <w:sz w:val="32"/>
          <w:szCs w:val="32"/>
          <w:highlight w:val="none"/>
          <w:lang w:eastAsia="zh-CN"/>
        </w:rPr>
        <w:t>（二）接收运营中的项目，应当</w:t>
      </w:r>
      <w:r>
        <w:rPr>
          <w:rFonts w:hint="eastAsia" w:ascii="仿宋_GB2312" w:hAnsi="仿宋" w:eastAsia="仿宋_GB2312" w:cs="Times New Roman"/>
          <w:sz w:val="32"/>
          <w:szCs w:val="32"/>
          <w:highlight w:val="none"/>
        </w:rPr>
        <w:t>委托</w:t>
      </w:r>
      <w:r>
        <w:rPr>
          <w:rFonts w:hint="eastAsia" w:ascii="仿宋_GB2312" w:hAnsi="仿宋" w:eastAsia="仿宋_GB2312" w:cs="Times New Roman"/>
          <w:sz w:val="32"/>
          <w:szCs w:val="32"/>
          <w:highlight w:val="none"/>
          <w:lang w:eastAsia="zh-CN"/>
        </w:rPr>
        <w:t>律师事务所进行尽职调查和委托</w:t>
      </w:r>
      <w:r>
        <w:rPr>
          <w:rFonts w:hint="eastAsia" w:ascii="仿宋_GB2312" w:hAnsi="仿宋" w:eastAsia="仿宋_GB2312" w:cs="Times New Roman"/>
          <w:sz w:val="32"/>
          <w:szCs w:val="32"/>
          <w:highlight w:val="none"/>
        </w:rPr>
        <w:t>会计师事务所进行审计。</w:t>
      </w:r>
      <w:r>
        <w:rPr>
          <w:rFonts w:hint="eastAsia" w:ascii="仿宋_GB2312" w:hAnsi="仿宋" w:eastAsia="仿宋_GB2312" w:cs="Times New Roman"/>
          <w:sz w:val="32"/>
          <w:szCs w:val="32"/>
          <w:highlight w:val="none"/>
          <w:lang w:eastAsia="zh-CN"/>
        </w:rPr>
        <w:t>需对价支付的项目，应当由权属单位委托双方认可的具有相应资质的评估机构进行资产评估</w:t>
      </w:r>
      <w:r>
        <w:rPr>
          <w:rFonts w:hint="eastAsia" w:ascii="仿宋_GB2312" w:hAnsi="仿宋" w:eastAsia="仿宋_GB2312" w:cs="Times New Roman"/>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highlight w:val="none"/>
          <w:lang w:eastAsia="zh-CN"/>
        </w:rPr>
      </w:pPr>
      <w:r>
        <w:rPr>
          <w:rFonts w:hint="eastAsia" w:ascii="仿宋_GB2312" w:hAnsi="仿宋" w:eastAsia="仿宋_GB2312" w:cs="Times New Roman"/>
          <w:sz w:val="32"/>
          <w:szCs w:val="32"/>
          <w:highlight w:val="none"/>
          <w:lang w:eastAsia="zh-CN"/>
        </w:rPr>
        <w:t>（三）接收项目应签订接收合同，确认项目的现状，明确双方权利义务。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sz w:val="32"/>
          <w:szCs w:val="32"/>
          <w:highlight w:val="none"/>
          <w:lang w:val="en-US" w:eastAsia="zh-CN"/>
        </w:rPr>
      </w:pPr>
      <w:r>
        <w:rPr>
          <w:rFonts w:hint="eastAsia" w:ascii="仿宋_GB2312" w:hAnsi="仿宋" w:eastAsia="仿宋_GB2312" w:cs="Times New Roman"/>
          <w:sz w:val="32"/>
          <w:szCs w:val="32"/>
          <w:highlight w:val="none"/>
          <w:lang w:eastAsia="zh-CN"/>
        </w:rPr>
        <w:t>市属国有企业代建市政府投资项目的，按照</w:t>
      </w:r>
      <w:r>
        <w:rPr>
          <w:rFonts w:hint="eastAsia" w:ascii="仿宋_GB2312" w:hAnsi="仿宋" w:eastAsia="仿宋_GB2312" w:cs="Times New Roman"/>
          <w:b w:val="0"/>
          <w:sz w:val="32"/>
          <w:szCs w:val="32"/>
          <w:highlight w:val="none"/>
        </w:rPr>
        <w:t>市政府投资项目</w:t>
      </w:r>
      <w:r>
        <w:rPr>
          <w:rFonts w:hint="eastAsia" w:ascii="仿宋_GB2312" w:hAnsi="仿宋" w:eastAsia="仿宋_GB2312" w:cs="Times New Roman"/>
          <w:b w:val="0"/>
          <w:sz w:val="32"/>
          <w:szCs w:val="32"/>
          <w:highlight w:val="none"/>
          <w:lang w:eastAsia="zh-CN"/>
        </w:rPr>
        <w:t>代建有关规定执行，不适用本条规定。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 w:eastAsia="仿宋_GB2312" w:cs="Times New Roman"/>
          <w:b/>
          <w:sz w:val="32"/>
          <w:szCs w:val="32"/>
          <w:highlight w:val="none"/>
        </w:rPr>
      </w:pPr>
      <w:r>
        <w:rPr>
          <w:rFonts w:hint="eastAsia" w:ascii="仿宋_GB2312" w:hAnsi="仿宋" w:eastAsia="仿宋_GB2312" w:cs="Times New Roman"/>
          <w:b/>
          <w:sz w:val="32"/>
          <w:szCs w:val="32"/>
          <w:highlight w:val="none"/>
        </w:rPr>
        <w:t>第</w:t>
      </w:r>
      <w:r>
        <w:rPr>
          <w:rFonts w:hint="eastAsia" w:ascii="仿宋_GB2312" w:hAnsi="仿宋" w:eastAsia="仿宋_GB2312" w:cs="Times New Roman"/>
          <w:b/>
          <w:sz w:val="32"/>
          <w:szCs w:val="32"/>
          <w:highlight w:val="none"/>
          <w:lang w:eastAsia="zh-CN"/>
        </w:rPr>
        <w:t>十七</w:t>
      </w:r>
      <w:r>
        <w:rPr>
          <w:rFonts w:hint="eastAsia" w:ascii="仿宋_GB2312" w:hAnsi="仿宋" w:eastAsia="仿宋_GB2312" w:cs="Times New Roman"/>
          <w:b/>
          <w:sz w:val="32"/>
          <w:szCs w:val="32"/>
          <w:highlight w:val="none"/>
        </w:rPr>
        <w:t xml:space="preserve">条  </w:t>
      </w:r>
      <w:r>
        <w:rPr>
          <w:rFonts w:hint="eastAsia" w:ascii="仿宋_GB2312" w:hAnsi="仿宋" w:eastAsia="仿宋_GB2312" w:cs="Times New Roman"/>
          <w:sz w:val="32"/>
          <w:szCs w:val="32"/>
          <w:highlight w:val="none"/>
        </w:rPr>
        <w:t>企业国有资产转让收入</w:t>
      </w:r>
      <w:r>
        <w:rPr>
          <w:rFonts w:hint="eastAsia" w:ascii="仿宋_GB2312" w:hAnsi="仿宋" w:eastAsia="仿宋_GB2312" w:cs="Times New Roman"/>
          <w:sz w:val="32"/>
          <w:szCs w:val="32"/>
          <w:highlight w:val="none"/>
          <w:lang w:eastAsia="zh-CN"/>
        </w:rPr>
        <w:t>按</w:t>
      </w:r>
      <w:r>
        <w:rPr>
          <w:rFonts w:hint="eastAsia" w:ascii="仿宋_GB2312" w:hAnsi="仿宋" w:eastAsia="仿宋_GB2312" w:cs="Times New Roman"/>
          <w:b w:val="0"/>
          <w:bCs w:val="0"/>
          <w:i w:val="0"/>
          <w:iCs w:val="0"/>
          <w:caps w:val="0"/>
          <w:color w:val="333333"/>
          <w:spacing w:val="0"/>
          <w:sz w:val="32"/>
          <w:szCs w:val="32"/>
          <w:highlight w:val="none"/>
          <w:shd w:val="clear" w:fill="auto"/>
        </w:rPr>
        <w:t>国有资本经营预算</w:t>
      </w:r>
      <w:r>
        <w:rPr>
          <w:rFonts w:hint="eastAsia" w:ascii="仿宋_GB2312" w:hAnsi="仿宋" w:eastAsia="仿宋_GB2312" w:cs="Times New Roman"/>
          <w:b w:val="0"/>
          <w:bCs w:val="0"/>
          <w:i w:val="0"/>
          <w:iCs w:val="0"/>
          <w:caps w:val="0"/>
          <w:spacing w:val="0"/>
          <w:sz w:val="32"/>
          <w:szCs w:val="32"/>
          <w:highlight w:val="none"/>
          <w:shd w:val="clear"/>
          <w:lang w:eastAsia="zh-CN"/>
        </w:rPr>
        <w:t>有关规定执行</w:t>
      </w:r>
      <w:r>
        <w:rPr>
          <w:rFonts w:hint="eastAsia" w:ascii="仿宋_GB2312" w:hAnsi="仿宋"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08" w:firstLineChars="96"/>
        <w:textAlignment w:val="auto"/>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十八</w:t>
      </w:r>
      <w:r>
        <w:rPr>
          <w:rFonts w:hint="eastAsia" w:ascii="仿宋_GB2312" w:hAnsi="仿宋" w:eastAsia="仿宋_GB2312" w:cs="Times New Roman"/>
          <w:b/>
          <w:sz w:val="32"/>
          <w:szCs w:val="32"/>
        </w:rPr>
        <w:t xml:space="preserve">条  </w:t>
      </w:r>
      <w:r>
        <w:rPr>
          <w:rFonts w:hint="eastAsia" w:ascii="仿宋_GB2312" w:hAnsi="仿宋" w:eastAsia="仿宋_GB2312" w:cs="Times New Roman"/>
          <w:sz w:val="32"/>
          <w:szCs w:val="32"/>
        </w:rPr>
        <w:t>本办法自</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年</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月</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日起施行，有效至</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年</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月</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s="Times New Roman"/>
          <w:sz w:val="32"/>
          <w:szCs w:val="32"/>
        </w:rPr>
      </w:pPr>
      <w:r>
        <w:rPr>
          <w:rFonts w:hint="eastAsia" w:ascii="仿宋_GB2312" w:hAnsi="仿宋" w:eastAsia="仿宋_GB2312" w:cs="Times New Roman"/>
          <w:b/>
          <w:sz w:val="32"/>
          <w:szCs w:val="32"/>
        </w:rPr>
        <w:t>第</w:t>
      </w:r>
      <w:r>
        <w:rPr>
          <w:rFonts w:hint="eastAsia" w:ascii="仿宋_GB2312" w:hAnsi="仿宋" w:eastAsia="仿宋_GB2312" w:cs="Times New Roman"/>
          <w:b/>
          <w:sz w:val="32"/>
          <w:szCs w:val="32"/>
          <w:lang w:eastAsia="zh-CN"/>
        </w:rPr>
        <w:t>十九</w:t>
      </w:r>
      <w:r>
        <w:rPr>
          <w:rFonts w:hint="eastAsia" w:ascii="仿宋_GB2312" w:hAnsi="仿宋" w:eastAsia="仿宋_GB2312" w:cs="Times New Roman"/>
          <w:b/>
          <w:sz w:val="32"/>
          <w:szCs w:val="32"/>
        </w:rPr>
        <w:t xml:space="preserve">条  </w:t>
      </w:r>
      <w:r>
        <w:rPr>
          <w:rFonts w:hint="eastAsia" w:ascii="仿宋_GB2312" w:hAnsi="仿宋" w:eastAsia="仿宋_GB2312" w:cs="Times New Roman"/>
          <w:sz w:val="32"/>
          <w:szCs w:val="32"/>
        </w:rPr>
        <w:t xml:space="preserve">本办法施行之前有关规定与本办法相抵触的，以本办法为准。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附件：1.资产评估项目核准申请表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ascii="宋体" w:hAnsi="宋体"/>
          <w:sz w:val="24"/>
        </w:rPr>
      </w:pPr>
      <w:r>
        <w:rPr>
          <w:rFonts w:hint="eastAsia" w:ascii="仿宋_GB2312" w:hAnsi="仿宋" w:eastAsia="仿宋_GB2312" w:cs="Times New Roman"/>
          <w:sz w:val="32"/>
          <w:szCs w:val="32"/>
        </w:rPr>
        <w:t>2.国有资产评估项目备案表</w:t>
      </w:r>
    </w:p>
    <w:p>
      <w:pPr>
        <w:rPr>
          <w:rFonts w:ascii="宋体" w:hAnsi="宋体"/>
          <w:sz w:val="24"/>
        </w:rPr>
      </w:pPr>
    </w:p>
    <w:tbl>
      <w:tblPr>
        <w:tblStyle w:val="3"/>
        <w:tblW w:w="9541" w:type="dxa"/>
        <w:tblInd w:w="93" w:type="dxa"/>
        <w:tblLayout w:type="fixed"/>
        <w:tblCellMar>
          <w:top w:w="0" w:type="dxa"/>
          <w:left w:w="108" w:type="dxa"/>
          <w:bottom w:w="0" w:type="dxa"/>
          <w:right w:w="108" w:type="dxa"/>
        </w:tblCellMar>
      </w:tblPr>
      <w:tblGrid>
        <w:gridCol w:w="846"/>
        <w:gridCol w:w="162"/>
        <w:gridCol w:w="769"/>
        <w:gridCol w:w="223"/>
        <w:gridCol w:w="425"/>
        <w:gridCol w:w="425"/>
        <w:gridCol w:w="426"/>
        <w:gridCol w:w="33"/>
        <w:gridCol w:w="244"/>
        <w:gridCol w:w="532"/>
        <w:gridCol w:w="183"/>
        <w:gridCol w:w="283"/>
        <w:gridCol w:w="94"/>
        <w:gridCol w:w="505"/>
        <w:gridCol w:w="110"/>
        <w:gridCol w:w="851"/>
        <w:gridCol w:w="815"/>
        <w:gridCol w:w="35"/>
        <w:gridCol w:w="577"/>
        <w:gridCol w:w="274"/>
        <w:gridCol w:w="141"/>
        <w:gridCol w:w="281"/>
        <w:gridCol w:w="532"/>
        <w:gridCol w:w="387"/>
      </w:tblGrid>
      <w:tr>
        <w:tblPrEx>
          <w:tblCellMar>
            <w:top w:w="0" w:type="dxa"/>
            <w:left w:w="108" w:type="dxa"/>
            <w:bottom w:w="0" w:type="dxa"/>
            <w:right w:w="108" w:type="dxa"/>
          </w:tblCellMar>
        </w:tblPrEx>
        <w:trPr>
          <w:trHeight w:val="378" w:hRule="atLeast"/>
        </w:trPr>
        <w:tc>
          <w:tcPr>
            <w:tcW w:w="1777" w:type="dxa"/>
            <w:gridSpan w:val="3"/>
            <w:tcBorders>
              <w:top w:val="nil"/>
              <w:left w:val="nil"/>
              <w:bottom w:val="nil"/>
              <w:right w:val="nil"/>
            </w:tcBorders>
            <w:vAlign w:val="center"/>
          </w:tcPr>
          <w:p>
            <w:pPr>
              <w:widowControl/>
              <w:jc w:val="left"/>
              <w:rPr>
                <w:rFonts w:hint="eastAsia" w:ascii="宋体" w:hAnsi="宋体" w:cs="宋体"/>
                <w:kern w:val="0"/>
                <w:sz w:val="24"/>
                <w:szCs w:val="24"/>
              </w:rPr>
            </w:pPr>
            <w:bookmarkStart w:id="0" w:name="_GoBack"/>
            <w:bookmarkEnd w:id="0"/>
          </w:p>
          <w:p>
            <w:pPr>
              <w:widowControl/>
              <w:jc w:val="left"/>
              <w:rPr>
                <w:rFonts w:ascii="宋体" w:hAnsi="宋体" w:cs="宋体"/>
                <w:kern w:val="0"/>
                <w:sz w:val="24"/>
                <w:szCs w:val="24"/>
              </w:rPr>
            </w:pPr>
            <w:r>
              <w:rPr>
                <w:rFonts w:hint="eastAsia" w:ascii="宋体" w:hAnsi="宋体" w:cs="宋体"/>
                <w:kern w:val="0"/>
                <w:sz w:val="24"/>
                <w:szCs w:val="24"/>
              </w:rPr>
              <w:t>附件1：</w:t>
            </w:r>
          </w:p>
        </w:tc>
        <w:tc>
          <w:tcPr>
            <w:tcW w:w="1776" w:type="dxa"/>
            <w:gridSpan w:val="6"/>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1776"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612"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696"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nil"/>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526" w:hRule="atLeast"/>
        </w:trPr>
        <w:tc>
          <w:tcPr>
            <w:tcW w:w="9153" w:type="dxa"/>
            <w:gridSpan w:val="24"/>
            <w:tcBorders>
              <w:top w:val="nil"/>
              <w:left w:val="nil"/>
              <w:bottom w:val="nil"/>
              <w:right w:val="nil"/>
            </w:tcBorders>
            <w:vAlign w:val="center"/>
          </w:tcPr>
          <w:p>
            <w:pPr>
              <w:widowControl/>
              <w:jc w:val="center"/>
              <w:rPr>
                <w:rFonts w:ascii="宋体" w:hAnsi="宋体" w:cs="宋体"/>
                <w:b/>
                <w:bCs/>
                <w:kern w:val="0"/>
                <w:sz w:val="40"/>
                <w:szCs w:val="40"/>
              </w:rPr>
            </w:pPr>
            <w:r>
              <w:rPr>
                <w:rFonts w:hint="eastAsia" w:ascii="宋体" w:hAnsi="宋体" w:cs="宋体"/>
                <w:b/>
                <w:bCs/>
                <w:kern w:val="0"/>
                <w:sz w:val="40"/>
                <w:szCs w:val="40"/>
              </w:rPr>
              <w:t>资产评估项目核准申请表</w:t>
            </w:r>
          </w:p>
        </w:tc>
      </w:tr>
      <w:tr>
        <w:tblPrEx>
          <w:tblCellMar>
            <w:top w:w="0" w:type="dxa"/>
            <w:left w:w="108" w:type="dxa"/>
            <w:bottom w:w="0" w:type="dxa"/>
            <w:right w:w="108" w:type="dxa"/>
          </w:tblCellMar>
        </w:tblPrEx>
        <w:trPr>
          <w:trHeight w:val="231" w:hRule="atLeast"/>
        </w:trPr>
        <w:tc>
          <w:tcPr>
            <w:tcW w:w="846" w:type="dxa"/>
            <w:tcBorders>
              <w:top w:val="nil"/>
              <w:left w:val="nil"/>
              <w:bottom w:val="nil"/>
              <w:right w:val="nil"/>
            </w:tcBorders>
            <w:vAlign w:val="center"/>
          </w:tcPr>
          <w:p>
            <w:pPr>
              <w:widowControl/>
              <w:jc w:val="left"/>
              <w:rPr>
                <w:rFonts w:ascii="宋体" w:hAnsi="宋体" w:cs="宋体"/>
                <w:kern w:val="0"/>
                <w:sz w:val="24"/>
                <w:szCs w:val="24"/>
              </w:rPr>
            </w:pPr>
          </w:p>
        </w:tc>
        <w:tc>
          <w:tcPr>
            <w:tcW w:w="93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776" w:type="dxa"/>
            <w:gridSpan w:val="6"/>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96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427"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274" w:type="dxa"/>
            <w:tcBorders>
              <w:top w:val="nil"/>
              <w:left w:val="nil"/>
              <w:bottom w:val="nil"/>
              <w:right w:val="nil"/>
            </w:tcBorders>
            <w:vAlign w:val="center"/>
          </w:tcPr>
          <w:p>
            <w:pPr>
              <w:widowControl/>
              <w:jc w:val="left"/>
              <w:rPr>
                <w:rFonts w:ascii="宋体" w:hAnsi="宋体" w:cs="宋体"/>
                <w:kern w:val="0"/>
                <w:sz w:val="24"/>
                <w:szCs w:val="24"/>
              </w:rPr>
            </w:pPr>
          </w:p>
        </w:tc>
        <w:tc>
          <w:tcPr>
            <w:tcW w:w="954"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nil"/>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231" w:hRule="atLeast"/>
        </w:trPr>
        <w:tc>
          <w:tcPr>
            <w:tcW w:w="846" w:type="dxa"/>
            <w:tcBorders>
              <w:top w:val="nil"/>
              <w:left w:val="nil"/>
              <w:bottom w:val="nil"/>
              <w:right w:val="nil"/>
            </w:tcBorders>
            <w:vAlign w:val="center"/>
          </w:tcPr>
          <w:p>
            <w:pPr>
              <w:widowControl/>
              <w:jc w:val="left"/>
              <w:rPr>
                <w:rFonts w:ascii="宋体" w:hAnsi="宋体" w:cs="宋体"/>
                <w:kern w:val="0"/>
                <w:sz w:val="24"/>
                <w:szCs w:val="24"/>
              </w:rPr>
            </w:pPr>
          </w:p>
        </w:tc>
        <w:tc>
          <w:tcPr>
            <w:tcW w:w="93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776" w:type="dxa"/>
            <w:gridSpan w:val="6"/>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96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427"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274" w:type="dxa"/>
            <w:tcBorders>
              <w:top w:val="nil"/>
              <w:left w:val="nil"/>
              <w:bottom w:val="nil"/>
              <w:right w:val="nil"/>
            </w:tcBorders>
            <w:vAlign w:val="center"/>
          </w:tcPr>
          <w:p>
            <w:pPr>
              <w:widowControl/>
              <w:jc w:val="left"/>
              <w:rPr>
                <w:rFonts w:ascii="宋体" w:hAnsi="宋体" w:cs="宋体"/>
                <w:kern w:val="0"/>
                <w:sz w:val="24"/>
                <w:szCs w:val="24"/>
              </w:rPr>
            </w:pPr>
          </w:p>
        </w:tc>
        <w:tc>
          <w:tcPr>
            <w:tcW w:w="954"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nil"/>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256" w:hRule="atLeast"/>
        </w:trPr>
        <w:tc>
          <w:tcPr>
            <w:tcW w:w="3553" w:type="dxa"/>
            <w:gridSpan w:val="9"/>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填表日期：</w:t>
            </w:r>
            <w:r>
              <w:rPr>
                <w:kern w:val="0"/>
                <w:sz w:val="24"/>
                <w:szCs w:val="24"/>
              </w:rPr>
              <w:t xml:space="preserve">   </w:t>
            </w:r>
            <w:r>
              <w:rPr>
                <w:rFonts w:hint="eastAsia" w:ascii="宋体" w:hAnsi="宋体" w:cs="宋体"/>
                <w:kern w:val="0"/>
                <w:sz w:val="24"/>
                <w:szCs w:val="24"/>
              </w:rPr>
              <w:t>年</w:t>
            </w:r>
            <w:r>
              <w:rPr>
                <w:kern w:val="0"/>
                <w:sz w:val="24"/>
                <w:szCs w:val="24"/>
              </w:rPr>
              <w:t xml:space="preserve">    </w:t>
            </w:r>
            <w:r>
              <w:rPr>
                <w:rFonts w:hint="eastAsia" w:ascii="宋体" w:hAnsi="宋体" w:cs="宋体"/>
                <w:kern w:val="0"/>
                <w:sz w:val="24"/>
                <w:szCs w:val="24"/>
              </w:rPr>
              <w:t>月</w:t>
            </w:r>
            <w:r>
              <w:rPr>
                <w:kern w:val="0"/>
                <w:sz w:val="24"/>
                <w:szCs w:val="24"/>
              </w:rPr>
              <w:t xml:space="preserve">     </w:t>
            </w:r>
            <w:r>
              <w:rPr>
                <w:rFonts w:hint="eastAsia" w:ascii="宋体" w:hAnsi="宋体" w:cs="宋体"/>
                <w:kern w:val="0"/>
                <w:sz w:val="24"/>
                <w:szCs w:val="24"/>
              </w:rPr>
              <w:t>日</w:t>
            </w:r>
            <w:r>
              <w:rPr>
                <w:kern w:val="0"/>
                <w:sz w:val="24"/>
                <w:szCs w:val="24"/>
              </w:rPr>
              <w:t xml:space="preserve"> </w:t>
            </w: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96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427" w:type="dxa"/>
            <w:gridSpan w:val="3"/>
            <w:tcBorders>
              <w:top w:val="nil"/>
              <w:left w:val="nil"/>
              <w:bottom w:val="nil"/>
              <w:right w:val="nil"/>
            </w:tcBorders>
            <w:vAlign w:val="center"/>
          </w:tcPr>
          <w:p>
            <w:pPr>
              <w:widowControl/>
              <w:ind w:firstLine="360" w:firstLineChars="150"/>
              <w:jc w:val="left"/>
              <w:rPr>
                <w:rFonts w:ascii="宋体" w:hAnsi="宋体" w:cs="宋体"/>
                <w:kern w:val="0"/>
                <w:sz w:val="24"/>
                <w:szCs w:val="24"/>
              </w:rPr>
            </w:pPr>
            <w:r>
              <w:rPr>
                <w:rFonts w:hint="eastAsia" w:ascii="宋体" w:hAnsi="宋体" w:cs="宋体"/>
                <w:kern w:val="0"/>
                <w:sz w:val="24"/>
                <w:szCs w:val="24"/>
              </w:rPr>
              <w:t>编号：</w:t>
            </w:r>
          </w:p>
        </w:tc>
        <w:tc>
          <w:tcPr>
            <w:tcW w:w="274" w:type="dxa"/>
            <w:tcBorders>
              <w:top w:val="nil"/>
              <w:left w:val="nil"/>
              <w:bottom w:val="nil"/>
              <w:right w:val="nil"/>
            </w:tcBorders>
            <w:vAlign w:val="center"/>
          </w:tcPr>
          <w:p>
            <w:pPr>
              <w:widowControl/>
              <w:jc w:val="left"/>
              <w:rPr>
                <w:rFonts w:ascii="宋体" w:hAnsi="宋体" w:cs="宋体"/>
                <w:kern w:val="0"/>
                <w:sz w:val="24"/>
                <w:szCs w:val="24"/>
              </w:rPr>
            </w:pPr>
          </w:p>
        </w:tc>
        <w:tc>
          <w:tcPr>
            <w:tcW w:w="954"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nil"/>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89" w:hRule="atLeast"/>
        </w:trPr>
        <w:tc>
          <w:tcPr>
            <w:tcW w:w="200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资产占有单位</w:t>
            </w:r>
          </w:p>
        </w:tc>
        <w:tc>
          <w:tcPr>
            <w:tcW w:w="4111" w:type="dxa"/>
            <w:gridSpan w:val="12"/>
            <w:tcBorders>
              <w:top w:val="single" w:color="auto" w:sz="4" w:space="0"/>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70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企业管理级次</w:t>
            </w:r>
          </w:p>
        </w:tc>
        <w:tc>
          <w:tcPr>
            <w:tcW w:w="1341" w:type="dxa"/>
            <w:gridSpan w:val="4"/>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00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上级单位</w:t>
            </w:r>
          </w:p>
        </w:tc>
        <w:tc>
          <w:tcPr>
            <w:tcW w:w="7153" w:type="dxa"/>
            <w:gridSpan w:val="20"/>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850" w:type="dxa"/>
            <w:gridSpan w:val="6"/>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集团公司（有关部门）</w:t>
            </w:r>
          </w:p>
        </w:tc>
        <w:tc>
          <w:tcPr>
            <w:tcW w:w="6303" w:type="dxa"/>
            <w:gridSpan w:val="18"/>
            <w:tcBorders>
              <w:top w:val="single" w:color="auto" w:sz="4" w:space="0"/>
              <w:left w:val="nil"/>
              <w:bottom w:val="single" w:color="auto" w:sz="4" w:space="0"/>
              <w:right w:val="single" w:color="000000"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00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资产所在地</w:t>
            </w:r>
          </w:p>
        </w:tc>
        <w:tc>
          <w:tcPr>
            <w:tcW w:w="7153" w:type="dxa"/>
            <w:gridSpan w:val="20"/>
            <w:tcBorders>
              <w:top w:val="single" w:color="auto" w:sz="4" w:space="0"/>
              <w:left w:val="nil"/>
              <w:bottom w:val="single" w:color="auto" w:sz="4" w:space="0"/>
              <w:right w:val="single" w:color="auto" w:sz="4" w:space="0"/>
            </w:tcBorders>
            <w:vAlign w:val="center"/>
          </w:tcPr>
          <w:p>
            <w:pPr>
              <w:widowControl/>
              <w:ind w:firstLine="1680" w:firstLineChars="700"/>
              <w:jc w:val="left"/>
              <w:rPr>
                <w:kern w:val="0"/>
                <w:sz w:val="24"/>
                <w:szCs w:val="24"/>
              </w:rPr>
            </w:pPr>
            <w:r>
              <w:rPr>
                <w:rFonts w:hint="eastAsia" w:ascii="宋体" w:hAnsi="宋体"/>
                <w:kern w:val="0"/>
                <w:sz w:val="24"/>
                <w:szCs w:val="24"/>
              </w:rPr>
              <w:t>省（区、市）</w:t>
            </w:r>
            <w:r>
              <w:rPr>
                <w:kern w:val="0"/>
                <w:sz w:val="24"/>
                <w:szCs w:val="24"/>
              </w:rPr>
              <w:t xml:space="preserve">   </w:t>
            </w:r>
            <w:r>
              <w:rPr>
                <w:rFonts w:hint="eastAsia"/>
                <w:kern w:val="0"/>
                <w:sz w:val="24"/>
                <w:szCs w:val="24"/>
              </w:rPr>
              <w:t xml:space="preserve"> </w:t>
            </w:r>
            <w:r>
              <w:rPr>
                <w:kern w:val="0"/>
                <w:sz w:val="24"/>
                <w:szCs w:val="24"/>
              </w:rPr>
              <w:t xml:space="preserve">    </w:t>
            </w:r>
            <w:r>
              <w:rPr>
                <w:rFonts w:hint="eastAsia" w:ascii="宋体" w:hAnsi="宋体"/>
                <w:kern w:val="0"/>
                <w:sz w:val="24"/>
                <w:szCs w:val="24"/>
              </w:rPr>
              <w:t>市（地）</w:t>
            </w:r>
            <w:r>
              <w:rPr>
                <w:kern w:val="0"/>
                <w:sz w:val="24"/>
                <w:szCs w:val="24"/>
              </w:rPr>
              <w:t xml:space="preserve">    </w:t>
            </w:r>
            <w:r>
              <w:rPr>
                <w:rFonts w:hint="eastAsia"/>
                <w:kern w:val="0"/>
                <w:sz w:val="24"/>
                <w:szCs w:val="24"/>
              </w:rPr>
              <w:t xml:space="preserve"> </w:t>
            </w:r>
            <w:r>
              <w:rPr>
                <w:kern w:val="0"/>
                <w:sz w:val="24"/>
                <w:szCs w:val="24"/>
              </w:rPr>
              <w:t xml:space="preserve">   </w:t>
            </w:r>
            <w:r>
              <w:rPr>
                <w:rFonts w:hint="eastAsia" w:ascii="宋体" w:hAnsi="宋体"/>
                <w:kern w:val="0"/>
                <w:sz w:val="24"/>
                <w:szCs w:val="24"/>
              </w:rPr>
              <w:t>区（县）</w:t>
            </w:r>
          </w:p>
        </w:tc>
      </w:tr>
      <w:tr>
        <w:tblPrEx>
          <w:tblCellMar>
            <w:top w:w="0" w:type="dxa"/>
            <w:left w:w="108" w:type="dxa"/>
            <w:bottom w:w="0" w:type="dxa"/>
            <w:right w:w="108" w:type="dxa"/>
          </w:tblCellMar>
        </w:tblPrEx>
        <w:trPr>
          <w:trHeight w:val="628" w:hRule="atLeast"/>
        </w:trPr>
        <w:tc>
          <w:tcPr>
            <w:tcW w:w="1008" w:type="dxa"/>
            <w:gridSpan w:val="2"/>
            <w:vMerge w:val="restart"/>
            <w:tcBorders>
              <w:top w:val="nil"/>
              <w:left w:val="single" w:color="auto" w:sz="4" w:space="0"/>
              <w:bottom w:val="single" w:color="auto" w:sz="4" w:space="0"/>
              <w:right w:val="single" w:color="auto" w:sz="4" w:space="0"/>
            </w:tcBorders>
            <w:textDirection w:val="tbRlV"/>
            <w:vAlign w:val="center"/>
          </w:tcPr>
          <w:p>
            <w:pPr>
              <w:widowControl/>
              <w:jc w:val="center"/>
              <w:rPr>
                <w:rFonts w:ascii="宋体" w:hAnsi="宋体" w:cs="宋体"/>
                <w:kern w:val="0"/>
                <w:sz w:val="24"/>
                <w:szCs w:val="24"/>
              </w:rPr>
            </w:pPr>
            <w:r>
              <w:rPr>
                <w:rFonts w:hint="eastAsia" w:ascii="宋体" w:hAnsi="宋体" w:cs="宋体"/>
                <w:kern w:val="0"/>
                <w:sz w:val="24"/>
                <w:szCs w:val="24"/>
              </w:rPr>
              <w:t>评估目的</w:t>
            </w:r>
          </w:p>
        </w:tc>
        <w:tc>
          <w:tcPr>
            <w:tcW w:w="8145" w:type="dxa"/>
            <w:gridSpan w:val="22"/>
            <w:vMerge w:val="restart"/>
            <w:tcBorders>
              <w:top w:val="single" w:color="auto" w:sz="4" w:space="0"/>
              <w:left w:val="single" w:color="auto" w:sz="4" w:space="0"/>
              <w:bottom w:val="single" w:color="000000" w:sz="4" w:space="0"/>
              <w:right w:val="single" w:color="000000" w:sz="4" w:space="0"/>
            </w:tcBorders>
          </w:tcPr>
          <w:p>
            <w:pPr>
              <w:widowControl/>
              <w:jc w:val="left"/>
              <w:rPr>
                <w:rFonts w:ascii="宋体" w:hAnsi="宋体" w:cs="宋体"/>
                <w:kern w:val="0"/>
                <w:sz w:val="24"/>
                <w:szCs w:val="24"/>
              </w:rPr>
            </w:pPr>
            <w:r>
              <w:rPr>
                <w:rFonts w:hint="eastAsia" w:ascii="宋体" w:hAnsi="宋体" w:cs="宋体"/>
                <w:kern w:val="0"/>
                <w:sz w:val="24"/>
                <w:szCs w:val="24"/>
              </w:rPr>
              <w:t xml:space="preserve">　 </w:t>
            </w:r>
          </w:p>
        </w:tc>
      </w:tr>
      <w:tr>
        <w:tblPrEx>
          <w:tblCellMar>
            <w:top w:w="0" w:type="dxa"/>
            <w:left w:w="108" w:type="dxa"/>
            <w:bottom w:w="0" w:type="dxa"/>
            <w:right w:w="108" w:type="dxa"/>
          </w:tblCellMar>
        </w:tblPrEx>
        <w:trPr>
          <w:trHeight w:val="357" w:hRule="atLeast"/>
        </w:trPr>
        <w:tc>
          <w:tcPr>
            <w:tcW w:w="100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8145" w:type="dxa"/>
            <w:gridSpan w:val="2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357" w:hRule="atLeast"/>
        </w:trPr>
        <w:tc>
          <w:tcPr>
            <w:tcW w:w="100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8145" w:type="dxa"/>
            <w:gridSpan w:val="2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357" w:hRule="atLeast"/>
        </w:trPr>
        <w:tc>
          <w:tcPr>
            <w:tcW w:w="100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8145" w:type="dxa"/>
            <w:gridSpan w:val="2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357" w:hRule="atLeast"/>
        </w:trPr>
        <w:tc>
          <w:tcPr>
            <w:tcW w:w="100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8145" w:type="dxa"/>
            <w:gridSpan w:val="2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89" w:hRule="atLeast"/>
        </w:trPr>
        <w:tc>
          <w:tcPr>
            <w:tcW w:w="242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评估范围</w:t>
            </w:r>
          </w:p>
        </w:tc>
        <w:tc>
          <w:tcPr>
            <w:tcW w:w="1843" w:type="dxa"/>
            <w:gridSpan w:val="6"/>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整体</w:t>
            </w:r>
            <w:r>
              <w:rPr>
                <w:kern w:val="0"/>
                <w:sz w:val="24"/>
                <w:szCs w:val="24"/>
              </w:rPr>
              <w:t>/</w:t>
            </w:r>
            <w:r>
              <w:rPr>
                <w:rFonts w:hint="eastAsia" w:ascii="宋体" w:hAnsi="宋体" w:cs="宋体"/>
                <w:kern w:val="0"/>
                <w:sz w:val="24"/>
                <w:szCs w:val="24"/>
              </w:rPr>
              <w:t>部分资产</w:t>
            </w:r>
          </w:p>
        </w:tc>
        <w:tc>
          <w:tcPr>
            <w:tcW w:w="992"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1701"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主要评估方法</w:t>
            </w:r>
          </w:p>
        </w:tc>
        <w:tc>
          <w:tcPr>
            <w:tcW w:w="2192" w:type="dxa"/>
            <w:gridSpan w:val="6"/>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42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调整后帐面值（万元）</w:t>
            </w:r>
          </w:p>
        </w:tc>
        <w:tc>
          <w:tcPr>
            <w:tcW w:w="851"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资产</w:t>
            </w:r>
          </w:p>
        </w:tc>
        <w:tc>
          <w:tcPr>
            <w:tcW w:w="1275"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709"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负债</w:t>
            </w:r>
          </w:p>
        </w:tc>
        <w:tc>
          <w:tcPr>
            <w:tcW w:w="1701"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992" w:type="dxa"/>
            <w:gridSpan w:val="3"/>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净资产</w:t>
            </w:r>
          </w:p>
        </w:tc>
        <w:tc>
          <w:tcPr>
            <w:tcW w:w="1200"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42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评估结果（万元）</w:t>
            </w:r>
          </w:p>
        </w:tc>
        <w:tc>
          <w:tcPr>
            <w:tcW w:w="851"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275"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709"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701"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992"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200"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425" w:type="dxa"/>
            <w:gridSpan w:val="5"/>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评估机构名称</w:t>
            </w:r>
          </w:p>
        </w:tc>
        <w:tc>
          <w:tcPr>
            <w:tcW w:w="3686" w:type="dxa"/>
            <w:gridSpan w:val="11"/>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842"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资质证书编号</w:t>
            </w:r>
          </w:p>
        </w:tc>
        <w:tc>
          <w:tcPr>
            <w:tcW w:w="1200"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89" w:hRule="atLeast"/>
        </w:trPr>
        <w:tc>
          <w:tcPr>
            <w:tcW w:w="2425" w:type="dxa"/>
            <w:gridSpan w:val="5"/>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注册资产评估师编号</w:t>
            </w:r>
          </w:p>
        </w:tc>
        <w:tc>
          <w:tcPr>
            <w:tcW w:w="3686" w:type="dxa"/>
            <w:gridSpan w:val="11"/>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842"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评估基准日</w:t>
            </w:r>
          </w:p>
        </w:tc>
        <w:tc>
          <w:tcPr>
            <w:tcW w:w="1200"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57" w:hRule="atLeast"/>
        </w:trPr>
        <w:tc>
          <w:tcPr>
            <w:tcW w:w="846" w:type="dxa"/>
            <w:tcBorders>
              <w:top w:val="nil"/>
              <w:left w:val="single" w:color="auto" w:sz="4" w:space="0"/>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1579" w:type="dxa"/>
            <w:gridSpan w:val="4"/>
            <w:tcBorders>
              <w:top w:val="nil"/>
              <w:left w:val="nil"/>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884" w:type="dxa"/>
            <w:gridSpan w:val="3"/>
            <w:tcBorders>
              <w:top w:val="single" w:color="auto" w:sz="4" w:space="0"/>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776" w:type="dxa"/>
            <w:gridSpan w:val="2"/>
            <w:tcBorders>
              <w:top w:val="single" w:color="auto" w:sz="4" w:space="0"/>
              <w:left w:val="single" w:color="auto" w:sz="4" w:space="0"/>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560" w:type="dxa"/>
            <w:gridSpan w:val="3"/>
            <w:tcBorders>
              <w:top w:val="single" w:color="auto" w:sz="4" w:space="0"/>
              <w:left w:val="nil"/>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505" w:type="dxa"/>
            <w:tcBorders>
              <w:top w:val="single" w:color="auto" w:sz="4" w:space="0"/>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961" w:type="dxa"/>
            <w:gridSpan w:val="2"/>
            <w:tcBorders>
              <w:top w:val="single" w:color="auto" w:sz="4" w:space="0"/>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427" w:type="dxa"/>
            <w:gridSpan w:val="3"/>
            <w:tcBorders>
              <w:top w:val="nil"/>
              <w:left w:val="nil"/>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415" w:type="dxa"/>
            <w:gridSpan w:val="2"/>
            <w:tcBorders>
              <w:top w:val="nil"/>
              <w:left w:val="nil"/>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c>
          <w:tcPr>
            <w:tcW w:w="813" w:type="dxa"/>
            <w:gridSpan w:val="2"/>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387" w:type="dxa"/>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57" w:hRule="atLeast"/>
        </w:trPr>
        <w:tc>
          <w:tcPr>
            <w:tcW w:w="3309" w:type="dxa"/>
            <w:gridSpan w:val="8"/>
            <w:tcBorders>
              <w:top w:val="nil"/>
              <w:left w:val="single" w:color="auto" w:sz="4" w:space="0"/>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szCs w:val="24"/>
              </w:rPr>
              <w:t>申请核准</w:t>
            </w:r>
          </w:p>
        </w:tc>
        <w:tc>
          <w:tcPr>
            <w:tcW w:w="2802" w:type="dxa"/>
            <w:gridSpan w:val="8"/>
            <w:tcBorders>
              <w:top w:val="nil"/>
              <w:left w:val="single" w:color="auto" w:sz="4" w:space="0"/>
              <w:bottom w:val="nil"/>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同意申请</w:t>
            </w:r>
          </w:p>
        </w:tc>
        <w:tc>
          <w:tcPr>
            <w:tcW w:w="3042" w:type="dxa"/>
            <w:gridSpan w:val="8"/>
            <w:tcBorders>
              <w:top w:val="nil"/>
              <w:left w:val="nil"/>
              <w:bottom w:val="nil"/>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同意申请</w:t>
            </w:r>
          </w:p>
        </w:tc>
      </w:tr>
      <w:tr>
        <w:tblPrEx>
          <w:tblCellMar>
            <w:top w:w="0" w:type="dxa"/>
            <w:left w:w="108" w:type="dxa"/>
            <w:bottom w:w="0" w:type="dxa"/>
            <w:right w:w="108" w:type="dxa"/>
          </w:tblCellMar>
        </w:tblPrEx>
        <w:trPr>
          <w:trHeight w:val="357" w:hRule="atLeast"/>
        </w:trPr>
        <w:tc>
          <w:tcPr>
            <w:tcW w:w="846" w:type="dxa"/>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93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532" w:type="dxa"/>
            <w:gridSpan w:val="5"/>
            <w:tcBorders>
              <w:top w:val="nil"/>
              <w:left w:val="nil"/>
              <w:bottom w:val="nil"/>
              <w:right w:val="nil"/>
            </w:tcBorders>
            <w:vAlign w:val="center"/>
          </w:tcPr>
          <w:p>
            <w:pPr>
              <w:widowControl/>
              <w:jc w:val="left"/>
              <w:rPr>
                <w:rFonts w:ascii="宋体" w:hAnsi="宋体" w:cs="宋体"/>
                <w:kern w:val="0"/>
                <w:sz w:val="24"/>
                <w:szCs w:val="24"/>
              </w:rPr>
            </w:pPr>
          </w:p>
        </w:tc>
        <w:tc>
          <w:tcPr>
            <w:tcW w:w="776" w:type="dxa"/>
            <w:gridSpan w:val="2"/>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961" w:type="dxa"/>
            <w:gridSpan w:val="2"/>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427" w:type="dxa"/>
            <w:gridSpan w:val="3"/>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696"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57" w:hRule="atLeast"/>
        </w:trPr>
        <w:tc>
          <w:tcPr>
            <w:tcW w:w="1777" w:type="dxa"/>
            <w:gridSpan w:val="3"/>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申报单位盖章</w:t>
            </w:r>
          </w:p>
        </w:tc>
        <w:tc>
          <w:tcPr>
            <w:tcW w:w="1532" w:type="dxa"/>
            <w:gridSpan w:val="5"/>
            <w:tcBorders>
              <w:top w:val="nil"/>
              <w:left w:val="nil"/>
              <w:bottom w:val="nil"/>
              <w:right w:val="nil"/>
            </w:tcBorders>
            <w:vAlign w:val="center"/>
          </w:tcPr>
          <w:p>
            <w:pPr>
              <w:widowControl/>
              <w:jc w:val="left"/>
              <w:rPr>
                <w:rFonts w:ascii="宋体" w:hAnsi="宋体" w:cs="宋体"/>
                <w:kern w:val="0"/>
                <w:sz w:val="24"/>
                <w:szCs w:val="24"/>
              </w:rPr>
            </w:pPr>
          </w:p>
        </w:tc>
        <w:tc>
          <w:tcPr>
            <w:tcW w:w="2802" w:type="dxa"/>
            <w:gridSpan w:val="8"/>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上级单位盖章</w:t>
            </w:r>
          </w:p>
          <w:p>
            <w:pPr>
              <w:widowControl/>
              <w:jc w:val="left"/>
              <w:rPr>
                <w:rFonts w:ascii="宋体" w:hAnsi="宋体" w:cs="宋体"/>
                <w:kern w:val="0"/>
                <w:sz w:val="24"/>
                <w:szCs w:val="24"/>
              </w:rPr>
            </w:pPr>
            <w:r>
              <w:rPr>
                <w:rFonts w:hint="eastAsia" w:ascii="宋体" w:hAnsi="宋体" w:cs="宋体"/>
                <w:kern w:val="0"/>
                <w:sz w:val="24"/>
                <w:szCs w:val="24"/>
              </w:rPr>
              <w:t>　</w:t>
            </w:r>
          </w:p>
        </w:tc>
        <w:tc>
          <w:tcPr>
            <w:tcW w:w="3042" w:type="dxa"/>
            <w:gridSpan w:val="8"/>
            <w:tcBorders>
              <w:top w:val="nil"/>
              <w:left w:val="nil"/>
              <w:bottom w:val="nil"/>
              <w:right w:val="single" w:color="000000"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公有资产管理部门</w:t>
            </w:r>
          </w:p>
        </w:tc>
      </w:tr>
      <w:tr>
        <w:tblPrEx>
          <w:tblCellMar>
            <w:top w:w="0" w:type="dxa"/>
            <w:left w:w="108" w:type="dxa"/>
            <w:bottom w:w="0" w:type="dxa"/>
            <w:right w:w="108" w:type="dxa"/>
          </w:tblCellMar>
        </w:tblPrEx>
        <w:trPr>
          <w:trHeight w:val="357" w:hRule="atLeast"/>
        </w:trPr>
        <w:tc>
          <w:tcPr>
            <w:tcW w:w="846" w:type="dxa"/>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93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532" w:type="dxa"/>
            <w:gridSpan w:val="5"/>
            <w:tcBorders>
              <w:top w:val="nil"/>
              <w:left w:val="nil"/>
              <w:bottom w:val="nil"/>
              <w:right w:val="nil"/>
            </w:tcBorders>
            <w:vAlign w:val="center"/>
          </w:tcPr>
          <w:p>
            <w:pPr>
              <w:widowControl/>
              <w:jc w:val="left"/>
              <w:rPr>
                <w:rFonts w:ascii="宋体" w:hAnsi="宋体" w:cs="宋体"/>
                <w:kern w:val="0"/>
                <w:sz w:val="24"/>
                <w:szCs w:val="24"/>
              </w:rPr>
            </w:pPr>
          </w:p>
        </w:tc>
        <w:tc>
          <w:tcPr>
            <w:tcW w:w="776" w:type="dxa"/>
            <w:gridSpan w:val="2"/>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961" w:type="dxa"/>
            <w:gridSpan w:val="2"/>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427" w:type="dxa"/>
            <w:gridSpan w:val="3"/>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696"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57" w:hRule="atLeast"/>
        </w:trPr>
        <w:tc>
          <w:tcPr>
            <w:tcW w:w="1777" w:type="dxa"/>
            <w:gridSpan w:val="3"/>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法人代表签字：</w:t>
            </w:r>
          </w:p>
        </w:tc>
        <w:tc>
          <w:tcPr>
            <w:tcW w:w="1532" w:type="dxa"/>
            <w:gridSpan w:val="5"/>
            <w:tcBorders>
              <w:top w:val="nil"/>
              <w:left w:val="nil"/>
              <w:bottom w:val="nil"/>
              <w:right w:val="nil"/>
            </w:tcBorders>
            <w:vAlign w:val="center"/>
          </w:tcPr>
          <w:p>
            <w:pPr>
              <w:widowControl/>
              <w:jc w:val="left"/>
              <w:rPr>
                <w:rFonts w:ascii="宋体" w:hAnsi="宋体" w:cs="宋体"/>
                <w:kern w:val="0"/>
                <w:sz w:val="24"/>
                <w:szCs w:val="24"/>
              </w:rPr>
            </w:pPr>
          </w:p>
        </w:tc>
        <w:tc>
          <w:tcPr>
            <w:tcW w:w="1841" w:type="dxa"/>
            <w:gridSpan w:val="6"/>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单位领导签字：</w:t>
            </w:r>
          </w:p>
        </w:tc>
        <w:tc>
          <w:tcPr>
            <w:tcW w:w="961" w:type="dxa"/>
            <w:gridSpan w:val="2"/>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427" w:type="dxa"/>
            <w:gridSpan w:val="3"/>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696"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57" w:hRule="atLeast"/>
        </w:trPr>
        <w:tc>
          <w:tcPr>
            <w:tcW w:w="846" w:type="dxa"/>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93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532" w:type="dxa"/>
            <w:gridSpan w:val="5"/>
            <w:tcBorders>
              <w:top w:val="nil"/>
              <w:left w:val="nil"/>
              <w:bottom w:val="nil"/>
              <w:right w:val="nil"/>
            </w:tcBorders>
            <w:vAlign w:val="center"/>
          </w:tcPr>
          <w:p>
            <w:pPr>
              <w:widowControl/>
              <w:jc w:val="left"/>
              <w:rPr>
                <w:rFonts w:ascii="宋体" w:hAnsi="宋体" w:cs="宋体"/>
                <w:kern w:val="0"/>
                <w:sz w:val="24"/>
                <w:szCs w:val="24"/>
              </w:rPr>
            </w:pPr>
          </w:p>
        </w:tc>
        <w:tc>
          <w:tcPr>
            <w:tcW w:w="776" w:type="dxa"/>
            <w:gridSpan w:val="2"/>
            <w:tcBorders>
              <w:top w:val="nil"/>
              <w:left w:val="single" w:color="auto" w:sz="4" w:space="0"/>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560"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05" w:type="dxa"/>
            <w:tcBorders>
              <w:top w:val="nil"/>
              <w:left w:val="nil"/>
              <w:bottom w:val="nil"/>
              <w:right w:val="nil"/>
            </w:tcBorders>
            <w:vAlign w:val="center"/>
          </w:tcPr>
          <w:p>
            <w:pPr>
              <w:widowControl/>
              <w:jc w:val="left"/>
              <w:rPr>
                <w:rFonts w:ascii="宋体" w:hAnsi="宋体" w:cs="宋体"/>
                <w:kern w:val="0"/>
                <w:sz w:val="24"/>
                <w:szCs w:val="24"/>
              </w:rPr>
            </w:pPr>
          </w:p>
        </w:tc>
        <w:tc>
          <w:tcPr>
            <w:tcW w:w="961" w:type="dxa"/>
            <w:gridSpan w:val="2"/>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1427" w:type="dxa"/>
            <w:gridSpan w:val="3"/>
            <w:tcBorders>
              <w:top w:val="nil"/>
              <w:left w:val="nil"/>
              <w:bottom w:val="nil"/>
              <w:right w:val="nil"/>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c>
          <w:tcPr>
            <w:tcW w:w="696" w:type="dxa"/>
            <w:gridSpan w:val="3"/>
            <w:tcBorders>
              <w:top w:val="nil"/>
              <w:left w:val="nil"/>
              <w:bottom w:val="nil"/>
              <w:right w:val="nil"/>
            </w:tcBorders>
            <w:vAlign w:val="center"/>
          </w:tcPr>
          <w:p>
            <w:pPr>
              <w:widowControl/>
              <w:jc w:val="left"/>
              <w:rPr>
                <w:rFonts w:ascii="宋体" w:hAnsi="宋体" w:cs="宋体"/>
                <w:kern w:val="0"/>
                <w:sz w:val="24"/>
                <w:szCs w:val="24"/>
              </w:rPr>
            </w:pPr>
          </w:p>
        </w:tc>
        <w:tc>
          <w:tcPr>
            <w:tcW w:w="532" w:type="dxa"/>
            <w:tcBorders>
              <w:top w:val="nil"/>
              <w:left w:val="nil"/>
              <w:bottom w:val="nil"/>
              <w:right w:val="nil"/>
            </w:tcBorders>
            <w:vAlign w:val="center"/>
          </w:tcPr>
          <w:p>
            <w:pPr>
              <w:widowControl/>
              <w:jc w:val="left"/>
              <w:rPr>
                <w:rFonts w:ascii="宋体" w:hAnsi="宋体" w:cs="宋体"/>
                <w:kern w:val="0"/>
                <w:sz w:val="24"/>
                <w:szCs w:val="24"/>
              </w:rPr>
            </w:pPr>
          </w:p>
        </w:tc>
        <w:tc>
          <w:tcPr>
            <w:tcW w:w="387" w:type="dxa"/>
            <w:tcBorders>
              <w:top w:val="nil"/>
              <w:left w:val="nil"/>
              <w:bottom w:val="nil"/>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357" w:hRule="atLeast"/>
        </w:trPr>
        <w:tc>
          <w:tcPr>
            <w:tcW w:w="846" w:type="dxa"/>
            <w:tcBorders>
              <w:top w:val="nil"/>
              <w:left w:val="single" w:color="auto" w:sz="4" w:space="0"/>
              <w:bottom w:val="nil"/>
              <w:right w:val="nil"/>
            </w:tcBorders>
            <w:vAlign w:val="center"/>
          </w:tcPr>
          <w:p>
            <w:pPr>
              <w:widowControl/>
              <w:jc w:val="left"/>
              <w:rPr>
                <w:rFonts w:ascii="宋体" w:hAnsi="宋体" w:cs="宋体"/>
                <w:kern w:val="0"/>
                <w:sz w:val="24"/>
                <w:szCs w:val="24"/>
              </w:rPr>
            </w:pPr>
          </w:p>
        </w:tc>
        <w:tc>
          <w:tcPr>
            <w:tcW w:w="931" w:type="dxa"/>
            <w:gridSpan w:val="2"/>
            <w:tcBorders>
              <w:top w:val="nil"/>
              <w:left w:val="nil"/>
              <w:bottom w:val="nil"/>
              <w:right w:val="nil"/>
            </w:tcBorders>
            <w:vAlign w:val="center"/>
          </w:tcPr>
          <w:p>
            <w:pPr>
              <w:widowControl/>
              <w:jc w:val="left"/>
              <w:rPr>
                <w:rFonts w:ascii="宋体" w:hAnsi="宋体" w:cs="宋体"/>
                <w:kern w:val="0"/>
                <w:sz w:val="24"/>
                <w:szCs w:val="24"/>
              </w:rPr>
            </w:pPr>
          </w:p>
        </w:tc>
        <w:tc>
          <w:tcPr>
            <w:tcW w:w="1532" w:type="dxa"/>
            <w:gridSpan w:val="5"/>
            <w:tcBorders>
              <w:top w:val="nil"/>
              <w:left w:val="nil"/>
              <w:bottom w:val="nil"/>
              <w:right w:val="nil"/>
            </w:tcBorders>
            <w:vAlign w:val="center"/>
          </w:tcPr>
          <w:p>
            <w:pPr>
              <w:widowControl/>
              <w:ind w:right="480"/>
              <w:rPr>
                <w:rFonts w:ascii="宋体" w:hAnsi="宋体" w:cs="宋体"/>
                <w:kern w:val="0"/>
                <w:sz w:val="24"/>
                <w:szCs w:val="24"/>
              </w:rPr>
            </w:pPr>
          </w:p>
        </w:tc>
        <w:tc>
          <w:tcPr>
            <w:tcW w:w="776" w:type="dxa"/>
            <w:gridSpan w:val="2"/>
            <w:tcBorders>
              <w:top w:val="nil"/>
              <w:left w:val="single" w:color="auto" w:sz="4" w:space="0"/>
              <w:bottom w:val="nil"/>
              <w:right w:val="nil"/>
            </w:tcBorders>
            <w:vAlign w:val="center"/>
          </w:tcPr>
          <w:p>
            <w:pPr>
              <w:widowControl/>
              <w:ind w:left="360" w:hanging="360" w:hangingChars="150"/>
              <w:jc w:val="left"/>
              <w:rPr>
                <w:rFonts w:ascii="宋体" w:hAnsi="宋体" w:cs="宋体"/>
                <w:kern w:val="0"/>
                <w:sz w:val="24"/>
                <w:szCs w:val="24"/>
              </w:rPr>
            </w:pPr>
          </w:p>
        </w:tc>
        <w:tc>
          <w:tcPr>
            <w:tcW w:w="560" w:type="dxa"/>
            <w:gridSpan w:val="3"/>
            <w:tcBorders>
              <w:top w:val="nil"/>
              <w:left w:val="nil"/>
              <w:bottom w:val="nil"/>
              <w:right w:val="nil"/>
            </w:tcBorders>
            <w:vAlign w:val="center"/>
          </w:tcPr>
          <w:p>
            <w:pPr>
              <w:widowControl/>
              <w:ind w:left="239" w:leftChars="114"/>
              <w:jc w:val="left"/>
              <w:rPr>
                <w:rFonts w:ascii="宋体" w:hAnsi="宋体" w:cs="宋体"/>
                <w:kern w:val="0"/>
                <w:sz w:val="24"/>
                <w:szCs w:val="24"/>
              </w:rPr>
            </w:pPr>
          </w:p>
        </w:tc>
        <w:tc>
          <w:tcPr>
            <w:tcW w:w="505" w:type="dxa"/>
            <w:tcBorders>
              <w:top w:val="nil"/>
              <w:left w:val="nil"/>
              <w:bottom w:val="nil"/>
              <w:right w:val="nil"/>
            </w:tcBorders>
            <w:vAlign w:val="center"/>
          </w:tcPr>
          <w:p>
            <w:pPr>
              <w:widowControl/>
              <w:ind w:firstLine="240" w:firstLineChars="100"/>
              <w:jc w:val="left"/>
              <w:rPr>
                <w:rFonts w:ascii="宋体" w:hAnsi="宋体" w:cs="宋体"/>
                <w:kern w:val="0"/>
                <w:sz w:val="24"/>
                <w:szCs w:val="24"/>
              </w:rPr>
            </w:pPr>
          </w:p>
        </w:tc>
        <w:tc>
          <w:tcPr>
            <w:tcW w:w="961" w:type="dxa"/>
            <w:gridSpan w:val="2"/>
            <w:tcBorders>
              <w:top w:val="nil"/>
              <w:left w:val="nil"/>
              <w:bottom w:val="nil"/>
              <w:right w:val="single" w:color="auto" w:sz="4" w:space="0"/>
            </w:tcBorders>
            <w:vAlign w:val="center"/>
          </w:tcPr>
          <w:p>
            <w:pPr>
              <w:widowControl/>
              <w:jc w:val="right"/>
              <w:rPr>
                <w:rFonts w:ascii="宋体" w:hAnsi="宋体" w:cs="宋体"/>
                <w:kern w:val="0"/>
                <w:sz w:val="24"/>
                <w:szCs w:val="24"/>
              </w:rPr>
            </w:pPr>
          </w:p>
        </w:tc>
        <w:tc>
          <w:tcPr>
            <w:tcW w:w="3042" w:type="dxa"/>
            <w:gridSpan w:val="8"/>
            <w:tcBorders>
              <w:top w:val="nil"/>
              <w:left w:val="nil"/>
              <w:bottom w:val="nil"/>
              <w:right w:val="single" w:color="000000" w:sz="4" w:space="0"/>
            </w:tcBorders>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357" w:hRule="atLeast"/>
        </w:trPr>
        <w:tc>
          <w:tcPr>
            <w:tcW w:w="3309" w:type="dxa"/>
            <w:gridSpan w:val="8"/>
            <w:tcBorders>
              <w:top w:val="nil"/>
              <w:left w:val="single" w:color="auto" w:sz="4" w:space="0"/>
              <w:bottom w:val="single" w:color="auto" w:sz="4" w:space="0"/>
              <w:right w:val="nil"/>
            </w:tcBorders>
            <w:vAlign w:val="center"/>
          </w:tcPr>
          <w:p>
            <w:pPr>
              <w:widowControl/>
              <w:jc w:val="right"/>
              <w:rPr>
                <w:rFonts w:ascii="宋体" w:hAnsi="宋体" w:cs="宋体"/>
                <w:kern w:val="0"/>
                <w:sz w:val="24"/>
                <w:szCs w:val="24"/>
              </w:rPr>
            </w:pPr>
          </w:p>
          <w:p>
            <w:pPr>
              <w:widowControl/>
              <w:ind w:right="480" w:firstLine="1080" w:firstLineChars="450"/>
              <w:jc w:val="right"/>
              <w:rPr>
                <w:rFonts w:ascii="宋体" w:hAnsi="宋体" w:cs="宋体"/>
                <w:kern w:val="0"/>
                <w:sz w:val="24"/>
                <w:szCs w:val="24"/>
              </w:rPr>
            </w:pPr>
            <w:r>
              <w:rPr>
                <w:rFonts w:hint="eastAsia" w:ascii="宋体" w:hAnsi="宋体" w:cs="宋体"/>
                <w:kern w:val="0"/>
                <w:sz w:val="24"/>
                <w:szCs w:val="24"/>
              </w:rPr>
              <w:t>年   月   日</w:t>
            </w:r>
          </w:p>
        </w:tc>
        <w:tc>
          <w:tcPr>
            <w:tcW w:w="2802" w:type="dxa"/>
            <w:gridSpan w:val="8"/>
            <w:tcBorders>
              <w:top w:val="nil"/>
              <w:left w:val="single" w:color="auto" w:sz="4" w:space="0"/>
              <w:bottom w:val="single" w:color="auto" w:sz="4" w:space="0"/>
              <w:right w:val="single" w:color="auto" w:sz="4" w:space="0"/>
            </w:tcBorders>
            <w:vAlign w:val="bottom"/>
          </w:tcPr>
          <w:p>
            <w:pPr>
              <w:widowControl/>
              <w:ind w:right="240"/>
              <w:jc w:val="right"/>
              <w:rPr>
                <w:rFonts w:ascii="宋体" w:hAnsi="宋体" w:cs="宋体"/>
                <w:kern w:val="0"/>
                <w:sz w:val="24"/>
                <w:szCs w:val="24"/>
              </w:rPr>
            </w:pPr>
            <w:r>
              <w:rPr>
                <w:rFonts w:hint="eastAsia" w:ascii="宋体" w:hAnsi="宋体" w:cs="宋体"/>
                <w:kern w:val="0"/>
                <w:sz w:val="24"/>
                <w:szCs w:val="24"/>
              </w:rPr>
              <w:t>年    月    日</w:t>
            </w:r>
          </w:p>
        </w:tc>
        <w:tc>
          <w:tcPr>
            <w:tcW w:w="3042" w:type="dxa"/>
            <w:gridSpan w:val="8"/>
            <w:tcBorders>
              <w:top w:val="nil"/>
              <w:left w:val="nil"/>
              <w:bottom w:val="single" w:color="auto" w:sz="4" w:space="0"/>
              <w:right w:val="single" w:color="000000" w:sz="4" w:space="0"/>
            </w:tcBorders>
            <w:vAlign w:val="bottom"/>
          </w:tcPr>
          <w:p>
            <w:pPr>
              <w:widowControl/>
              <w:ind w:right="240"/>
              <w:jc w:val="right"/>
              <w:rPr>
                <w:rFonts w:ascii="宋体" w:hAnsi="宋体" w:cs="宋体"/>
                <w:kern w:val="0"/>
                <w:sz w:val="24"/>
                <w:szCs w:val="24"/>
              </w:rPr>
            </w:pPr>
            <w:r>
              <w:rPr>
                <w:rFonts w:hint="eastAsia" w:ascii="宋体" w:hAnsi="宋体" w:cs="宋体"/>
                <w:kern w:val="0"/>
                <w:sz w:val="24"/>
                <w:szCs w:val="24"/>
              </w:rPr>
              <w:t>年    月    日</w:t>
            </w:r>
          </w:p>
        </w:tc>
      </w:tr>
    </w:tbl>
    <w:p>
      <w:pPr>
        <w:rPr>
          <w:rFonts w:ascii="宋体" w:hAnsi="宋体"/>
          <w:sz w:val="24"/>
        </w:rPr>
      </w:pPr>
    </w:p>
    <w:p>
      <w:pPr>
        <w:rPr>
          <w:rFonts w:hint="eastAsia" w:ascii="宋体" w:hAnsi="宋体"/>
          <w:sz w:val="24"/>
        </w:rPr>
      </w:pPr>
    </w:p>
    <w:p>
      <w:pPr>
        <w:rPr>
          <w:rFonts w:ascii="宋体" w:hAnsi="宋体"/>
          <w:sz w:val="24"/>
        </w:rPr>
      </w:pPr>
      <w:r>
        <w:rPr>
          <w:rFonts w:hint="eastAsia" w:ascii="宋体" w:hAnsi="宋体"/>
          <w:sz w:val="24"/>
        </w:rPr>
        <w:t>附件2：</w:t>
      </w:r>
    </w:p>
    <w:p>
      <w:pPr>
        <w:ind w:right="200"/>
        <w:jc w:val="right"/>
        <w:rPr>
          <w:sz w:val="20"/>
        </w:rPr>
      </w:pPr>
    </w:p>
    <w:p>
      <w:pPr>
        <w:jc w:val="left"/>
        <w:rPr>
          <w:sz w:val="32"/>
          <w:szCs w:val="32"/>
          <w:u w:val="single"/>
        </w:rPr>
      </w:pPr>
      <w:r>
        <w:rPr>
          <w:rFonts w:hint="eastAsia"/>
          <w:sz w:val="32"/>
          <w:szCs w:val="32"/>
        </w:rPr>
        <w:t>备案编号：</w:t>
      </w:r>
      <w:r>
        <w:rPr>
          <w:rFonts w:hint="eastAsia"/>
          <w:sz w:val="32"/>
          <w:szCs w:val="32"/>
          <w:u w:val="single"/>
        </w:rPr>
        <w:t>　　　　　</w:t>
      </w:r>
    </w:p>
    <w:p>
      <w:pPr>
        <w:jc w:val="left"/>
        <w:rPr>
          <w:sz w:val="32"/>
          <w:szCs w:val="32"/>
        </w:rPr>
      </w:pPr>
    </w:p>
    <w:p>
      <w:pPr>
        <w:jc w:val="center"/>
        <w:rPr>
          <w:b/>
          <w:sz w:val="80"/>
          <w:szCs w:val="80"/>
        </w:rPr>
      </w:pPr>
    </w:p>
    <w:p>
      <w:pPr>
        <w:jc w:val="center"/>
        <w:rPr>
          <w:b/>
          <w:sz w:val="80"/>
          <w:szCs w:val="80"/>
        </w:rPr>
      </w:pPr>
    </w:p>
    <w:p>
      <w:pPr>
        <w:jc w:val="center"/>
        <w:rPr>
          <w:rFonts w:ascii="华文中宋" w:hAnsi="华文中宋" w:eastAsia="华文中宋"/>
          <w:spacing w:val="20"/>
          <w:sz w:val="56"/>
          <w:szCs w:val="56"/>
        </w:rPr>
      </w:pPr>
      <w:r>
        <w:rPr>
          <w:rFonts w:hint="eastAsia" w:ascii="华文中宋" w:hAnsi="华文中宋" w:eastAsia="华文中宋"/>
          <w:spacing w:val="20"/>
          <w:sz w:val="56"/>
          <w:szCs w:val="56"/>
        </w:rPr>
        <w:t>国有资产评估项目备案表</w:t>
      </w:r>
    </w:p>
    <w:p>
      <w:pPr>
        <w:rPr>
          <w:sz w:val="32"/>
          <w:szCs w:val="32"/>
        </w:rPr>
      </w:pPr>
    </w:p>
    <w:p>
      <w:pPr>
        <w:rPr>
          <w:sz w:val="32"/>
          <w:szCs w:val="32"/>
        </w:rPr>
      </w:pPr>
    </w:p>
    <w:p>
      <w:pPr>
        <w:rPr>
          <w:sz w:val="32"/>
          <w:szCs w:val="32"/>
        </w:rPr>
      </w:pPr>
    </w:p>
    <w:p>
      <w:pPr>
        <w:rPr>
          <w:sz w:val="32"/>
          <w:szCs w:val="32"/>
        </w:rPr>
      </w:pPr>
    </w:p>
    <w:p>
      <w:pPr>
        <w:ind w:firstLine="960" w:firstLineChars="300"/>
        <w:rPr>
          <w:sz w:val="32"/>
          <w:szCs w:val="32"/>
          <w:u w:val="single"/>
        </w:rPr>
      </w:pPr>
      <w:r>
        <w:rPr>
          <w:rFonts w:hint="eastAsia"/>
          <w:sz w:val="32"/>
          <w:szCs w:val="32"/>
        </w:rPr>
        <w:t>产权持有单位（盖章）：</w:t>
      </w:r>
      <w:r>
        <w:rPr>
          <w:rFonts w:hint="eastAsia"/>
          <w:sz w:val="32"/>
          <w:szCs w:val="32"/>
          <w:u w:val="single"/>
        </w:rPr>
        <w:t xml:space="preserve">　　　　　         </w:t>
      </w:r>
    </w:p>
    <w:p>
      <w:pPr>
        <w:ind w:firstLine="1280" w:firstLineChars="400"/>
        <w:rPr>
          <w:sz w:val="32"/>
          <w:szCs w:val="32"/>
        </w:rPr>
      </w:pPr>
    </w:p>
    <w:p>
      <w:pPr>
        <w:ind w:firstLine="960" w:firstLineChars="300"/>
        <w:rPr>
          <w:sz w:val="32"/>
          <w:szCs w:val="32"/>
          <w:u w:val="single"/>
        </w:rPr>
      </w:pPr>
      <w:r>
        <w:rPr>
          <w:rFonts w:hint="eastAsia"/>
          <w:sz w:val="32"/>
          <w:szCs w:val="32"/>
        </w:rPr>
        <w:t>法</w:t>
      </w:r>
      <w:r>
        <w:rPr>
          <w:rFonts w:hint="eastAsia"/>
          <w:spacing w:val="24"/>
          <w:sz w:val="32"/>
          <w:szCs w:val="32"/>
        </w:rPr>
        <w:t xml:space="preserve">定代表人 </w:t>
      </w:r>
      <w:r>
        <w:rPr>
          <w:rFonts w:hint="eastAsia"/>
          <w:sz w:val="32"/>
          <w:szCs w:val="32"/>
        </w:rPr>
        <w:t>（签字）：</w:t>
      </w:r>
      <w:r>
        <w:rPr>
          <w:rFonts w:hint="eastAsia"/>
          <w:sz w:val="32"/>
          <w:szCs w:val="32"/>
          <w:u w:val="single"/>
        </w:rPr>
        <w:t xml:space="preserve">　　　　　          </w:t>
      </w:r>
    </w:p>
    <w:p>
      <w:pPr>
        <w:ind w:firstLine="1280" w:firstLineChars="400"/>
        <w:rPr>
          <w:sz w:val="32"/>
          <w:szCs w:val="32"/>
        </w:rPr>
      </w:pPr>
    </w:p>
    <w:p>
      <w:pPr>
        <w:ind w:firstLine="960" w:firstLineChars="300"/>
        <w:rPr>
          <w:sz w:val="32"/>
          <w:szCs w:val="32"/>
        </w:rPr>
      </w:pPr>
      <w:r>
        <w:rPr>
          <w:rFonts w:hint="eastAsia"/>
          <w:sz w:val="32"/>
          <w:szCs w:val="32"/>
        </w:rPr>
        <w:t>填</w:t>
      </w:r>
      <w:r>
        <w:rPr>
          <w:rFonts w:hint="eastAsia"/>
          <w:spacing w:val="22"/>
          <w:sz w:val="32"/>
          <w:szCs w:val="32"/>
        </w:rPr>
        <w:t>　  报　 日　</w:t>
      </w:r>
      <w:r>
        <w:rPr>
          <w:rFonts w:hint="eastAsia"/>
          <w:sz w:val="32"/>
          <w:szCs w:val="32"/>
        </w:rPr>
        <w:t>期：</w:t>
      </w:r>
      <w:r>
        <w:rPr>
          <w:rFonts w:hint="eastAsia"/>
          <w:sz w:val="32"/>
          <w:szCs w:val="32"/>
          <w:u w:val="single"/>
        </w:rPr>
        <w:t xml:space="preserve">                    </w:t>
      </w:r>
    </w:p>
    <w:p/>
    <w:p/>
    <w:p/>
    <w:p>
      <w:pPr>
        <w:jc w:val="center"/>
      </w:pPr>
      <w:r>
        <w:rPr>
          <w:rFonts w:hint="eastAsia" w:ascii="黑体" w:eastAsia="黑体"/>
          <w:b/>
          <w:sz w:val="26"/>
          <w:szCs w:val="26"/>
        </w:rPr>
        <w:t>国务院国有资产监督管理委员会制</w:t>
      </w:r>
    </w:p>
    <w:p/>
    <w:tbl>
      <w:tblPr>
        <w:tblStyle w:val="3"/>
        <w:tblW w:w="9530" w:type="dxa"/>
        <w:tblInd w:w="93" w:type="dxa"/>
        <w:tblLayout w:type="fixed"/>
        <w:tblCellMar>
          <w:top w:w="0" w:type="dxa"/>
          <w:left w:w="108" w:type="dxa"/>
          <w:bottom w:w="0" w:type="dxa"/>
          <w:right w:w="108" w:type="dxa"/>
        </w:tblCellMar>
      </w:tblPr>
      <w:tblGrid>
        <w:gridCol w:w="723"/>
        <w:gridCol w:w="1275"/>
        <w:gridCol w:w="709"/>
        <w:gridCol w:w="211"/>
        <w:gridCol w:w="358"/>
        <w:gridCol w:w="762"/>
        <w:gridCol w:w="475"/>
        <w:gridCol w:w="180"/>
        <w:gridCol w:w="425"/>
        <w:gridCol w:w="820"/>
        <w:gridCol w:w="171"/>
        <w:gridCol w:w="109"/>
        <w:gridCol w:w="743"/>
        <w:gridCol w:w="159"/>
        <w:gridCol w:w="440"/>
        <w:gridCol w:w="250"/>
        <w:gridCol w:w="130"/>
        <w:gridCol w:w="297"/>
        <w:gridCol w:w="1293"/>
      </w:tblGrid>
      <w:tr>
        <w:tblPrEx>
          <w:tblCellMar>
            <w:top w:w="0" w:type="dxa"/>
            <w:left w:w="108" w:type="dxa"/>
            <w:bottom w:w="0" w:type="dxa"/>
            <w:right w:w="108" w:type="dxa"/>
          </w:tblCellMar>
        </w:tblPrEx>
        <w:trPr>
          <w:trHeight w:val="1238" w:hRule="atLeast"/>
        </w:trPr>
        <w:tc>
          <w:tcPr>
            <w:tcW w:w="9530" w:type="dxa"/>
            <w:gridSpan w:val="19"/>
            <w:tcBorders>
              <w:top w:val="nil"/>
              <w:left w:val="nil"/>
              <w:bottom w:val="nil"/>
              <w:right w:val="nil"/>
            </w:tcBorders>
          </w:tcPr>
          <w:p>
            <w:pPr>
              <w:widowControl/>
              <w:jc w:val="center"/>
              <w:rPr>
                <w:rFonts w:ascii="华文中宋" w:hAnsi="华文中宋" w:eastAsia="华文中宋" w:cs="宋体"/>
                <w:kern w:val="0"/>
                <w:sz w:val="40"/>
                <w:szCs w:val="40"/>
              </w:rPr>
            </w:pPr>
          </w:p>
          <w:p>
            <w:pPr>
              <w:widowControl/>
              <w:jc w:val="center"/>
              <w:rPr>
                <w:rFonts w:ascii="华文中宋" w:hAnsi="华文中宋" w:eastAsia="华文中宋" w:cs="宋体"/>
                <w:kern w:val="0"/>
                <w:sz w:val="40"/>
                <w:szCs w:val="40"/>
              </w:rPr>
            </w:pPr>
            <w:r>
              <w:rPr>
                <w:rFonts w:hint="eastAsia" w:ascii="华文中宋" w:hAnsi="华文中宋" w:eastAsia="华文中宋" w:cs="宋体"/>
                <w:kern w:val="0"/>
                <w:sz w:val="40"/>
                <w:szCs w:val="40"/>
              </w:rPr>
              <w:t>资产评估项目基本情况</w:t>
            </w:r>
          </w:p>
          <w:p>
            <w:pPr>
              <w:widowControl/>
              <w:jc w:val="center"/>
              <w:rPr>
                <w:rFonts w:ascii="宋体" w:cs="宋体"/>
                <w:kern w:val="0"/>
                <w:sz w:val="24"/>
              </w:rPr>
            </w:pPr>
          </w:p>
        </w:tc>
      </w:tr>
      <w:tr>
        <w:tblPrEx>
          <w:tblCellMar>
            <w:top w:w="0" w:type="dxa"/>
            <w:left w:w="108" w:type="dxa"/>
            <w:bottom w:w="0" w:type="dxa"/>
            <w:right w:w="108" w:type="dxa"/>
          </w:tblCellMar>
        </w:tblPrEx>
        <w:trPr>
          <w:trHeight w:val="499"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评估对象</w:t>
            </w:r>
          </w:p>
        </w:tc>
        <w:tc>
          <w:tcPr>
            <w:tcW w:w="7532" w:type="dxa"/>
            <w:gridSpan w:val="17"/>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r>
      <w:tr>
        <w:tblPrEx>
          <w:tblCellMar>
            <w:top w:w="0" w:type="dxa"/>
            <w:left w:w="108" w:type="dxa"/>
            <w:bottom w:w="0" w:type="dxa"/>
            <w:right w:w="108" w:type="dxa"/>
          </w:tblCellMar>
        </w:tblPrEx>
        <w:trPr>
          <w:trHeight w:val="499"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产权持有单位</w:t>
            </w:r>
          </w:p>
        </w:tc>
        <w:tc>
          <w:tcPr>
            <w:tcW w:w="4111" w:type="dxa"/>
            <w:gridSpan w:val="9"/>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c>
          <w:tcPr>
            <w:tcW w:w="1701" w:type="dxa"/>
            <w:gridSpan w:val="5"/>
            <w:tcBorders>
              <w:top w:val="single" w:color="auto" w:sz="4" w:space="0"/>
              <w:left w:val="nil"/>
              <w:bottom w:val="single" w:color="auto" w:sz="4" w:space="0"/>
              <w:right w:val="single" w:color="auto" w:sz="4" w:space="0"/>
            </w:tcBorders>
            <w:vAlign w:val="center"/>
          </w:tcPr>
          <w:p>
            <w:pPr>
              <w:widowControl/>
              <w:rPr>
                <w:rFonts w:ascii="宋体" w:cs="宋体"/>
                <w:kern w:val="0"/>
                <w:sz w:val="24"/>
              </w:rPr>
            </w:pPr>
            <w:r>
              <w:rPr>
                <w:rFonts w:hint="eastAsia" w:ascii="宋体" w:cs="宋体"/>
                <w:kern w:val="0"/>
                <w:sz w:val="24"/>
              </w:rPr>
              <w:t>企业管理级次</w:t>
            </w:r>
          </w:p>
        </w:tc>
        <w:tc>
          <w:tcPr>
            <w:tcW w:w="1720" w:type="dxa"/>
            <w:gridSpan w:val="3"/>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r>
      <w:tr>
        <w:tblPrEx>
          <w:tblCellMar>
            <w:top w:w="0" w:type="dxa"/>
            <w:left w:w="108" w:type="dxa"/>
            <w:bottom w:w="0" w:type="dxa"/>
            <w:right w:w="108" w:type="dxa"/>
          </w:tblCellMar>
        </w:tblPrEx>
        <w:trPr>
          <w:trHeight w:val="499" w:hRule="atLeas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资产评估委托方</w:t>
            </w:r>
          </w:p>
        </w:tc>
        <w:tc>
          <w:tcPr>
            <w:tcW w:w="7532" w:type="dxa"/>
            <w:gridSpan w:val="17"/>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r>
      <w:tr>
        <w:tblPrEx>
          <w:tblCellMar>
            <w:top w:w="0" w:type="dxa"/>
            <w:left w:w="108" w:type="dxa"/>
            <w:bottom w:w="0" w:type="dxa"/>
            <w:right w:w="108" w:type="dxa"/>
          </w:tblCellMar>
        </w:tblPrEx>
        <w:trPr>
          <w:trHeight w:val="499" w:hRule="exact"/>
        </w:trPr>
        <w:tc>
          <w:tcPr>
            <w:tcW w:w="270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所出资企业（有关部门）</w:t>
            </w:r>
          </w:p>
        </w:tc>
        <w:tc>
          <w:tcPr>
            <w:tcW w:w="6823" w:type="dxa"/>
            <w:gridSpan w:val="16"/>
            <w:tcBorders>
              <w:top w:val="single" w:color="auto" w:sz="4" w:space="0"/>
              <w:left w:val="nil"/>
              <w:bottom w:val="single" w:color="auto" w:sz="4" w:space="0"/>
              <w:right w:val="single" w:color="auto" w:sz="4" w:space="0"/>
            </w:tcBorders>
            <w:vAlign w:val="center"/>
          </w:tcPr>
          <w:p>
            <w:pPr>
              <w:widowControl/>
              <w:ind w:firstLine="480" w:firstLineChars="200"/>
              <w:jc w:val="left"/>
              <w:rPr>
                <w:rFonts w:ascii="宋体" w:cs="宋体"/>
                <w:kern w:val="0"/>
                <w:sz w:val="24"/>
              </w:rPr>
            </w:pPr>
          </w:p>
        </w:tc>
      </w:tr>
      <w:tr>
        <w:tblPrEx>
          <w:tblCellMar>
            <w:top w:w="0" w:type="dxa"/>
            <w:left w:w="108" w:type="dxa"/>
            <w:bottom w:w="0" w:type="dxa"/>
            <w:right w:w="108" w:type="dxa"/>
          </w:tblCellMar>
        </w:tblPrEx>
        <w:trPr>
          <w:cantSplit/>
          <w:trHeight w:val="150" w:hRule="atLeast"/>
        </w:trPr>
        <w:tc>
          <w:tcPr>
            <w:tcW w:w="72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jc w:val="left"/>
              <w:rPr>
                <w:rFonts w:ascii="宋体" w:cs="宋体"/>
                <w:kern w:val="0"/>
              </w:rPr>
            </w:pPr>
            <w:r>
              <w:rPr>
                <w:rFonts w:hint="eastAsia" w:ascii="宋体" w:cs="宋体"/>
                <w:kern w:val="0"/>
              </w:rPr>
              <w:t>经济行为类型</w:t>
            </w:r>
          </w:p>
        </w:tc>
        <w:tc>
          <w:tcPr>
            <w:tcW w:w="1275" w:type="dxa"/>
            <w:tcBorders>
              <w:top w:val="nil"/>
              <w:left w:val="single" w:color="auto" w:sz="4" w:space="0"/>
              <w:bottom w:val="nil"/>
              <w:right w:val="nil"/>
            </w:tcBorders>
            <w:vAlign w:val="center"/>
          </w:tcPr>
          <w:p>
            <w:pPr>
              <w:widowControl/>
              <w:jc w:val="left"/>
              <w:rPr>
                <w:rFonts w:ascii="宋体" w:cs="宋体"/>
                <w:kern w:val="0"/>
              </w:rPr>
            </w:pPr>
            <w:r>
              <w:rPr>
                <w:rFonts w:hint="eastAsia" w:ascii="宋体" w:cs="宋体"/>
                <w:kern w:val="0"/>
              </w:rPr>
              <w:t>　</w:t>
            </w:r>
          </w:p>
        </w:tc>
        <w:tc>
          <w:tcPr>
            <w:tcW w:w="920" w:type="dxa"/>
            <w:gridSpan w:val="2"/>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1120" w:type="dxa"/>
            <w:gridSpan w:val="2"/>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1080" w:type="dxa"/>
            <w:gridSpan w:val="3"/>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820" w:type="dxa"/>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1182" w:type="dxa"/>
            <w:gridSpan w:val="4"/>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440" w:type="dxa"/>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380" w:type="dxa"/>
            <w:gridSpan w:val="2"/>
            <w:tcBorders>
              <w:top w:val="nil"/>
              <w:left w:val="nil"/>
              <w:bottom w:val="nil"/>
              <w:right w:val="nil"/>
            </w:tcBorders>
            <w:vAlign w:val="center"/>
          </w:tcPr>
          <w:p>
            <w:pPr>
              <w:widowControl/>
              <w:jc w:val="left"/>
              <w:rPr>
                <w:rFonts w:ascii="宋体" w:cs="宋体"/>
                <w:kern w:val="0"/>
              </w:rPr>
            </w:pPr>
            <w:r>
              <w:rPr>
                <w:rFonts w:hint="eastAsia" w:ascii="宋体" w:cs="宋体"/>
                <w:kern w:val="0"/>
              </w:rPr>
              <w:t>　</w:t>
            </w:r>
          </w:p>
        </w:tc>
        <w:tc>
          <w:tcPr>
            <w:tcW w:w="1590" w:type="dxa"/>
            <w:gridSpan w:val="2"/>
            <w:tcBorders>
              <w:top w:val="nil"/>
              <w:left w:val="nil"/>
              <w:bottom w:val="nil"/>
              <w:right w:val="single" w:color="auto" w:sz="4" w:space="0"/>
            </w:tcBorders>
            <w:vAlign w:val="center"/>
          </w:tcPr>
          <w:p>
            <w:pPr>
              <w:widowControl/>
              <w:jc w:val="left"/>
              <w:rPr>
                <w:rFonts w:ascii="宋体" w:cs="宋体"/>
                <w:kern w:val="0"/>
              </w:rPr>
            </w:pPr>
            <w:r>
              <w:rPr>
                <w:rFonts w:hint="eastAsia" w:ascii="宋体" w:cs="宋体"/>
                <w:kern w:val="0"/>
              </w:rPr>
              <w:t>　</w:t>
            </w:r>
          </w:p>
        </w:tc>
      </w:tr>
      <w:tr>
        <w:tblPrEx>
          <w:tblCellMar>
            <w:top w:w="0" w:type="dxa"/>
            <w:left w:w="108" w:type="dxa"/>
            <w:bottom w:w="0" w:type="dxa"/>
            <w:right w:w="108" w:type="dxa"/>
          </w:tblCellMar>
        </w:tblPrEx>
        <w:trPr>
          <w:cantSplit/>
          <w:trHeight w:val="2333" w:hRule="atLeast"/>
        </w:trPr>
        <w:tc>
          <w:tcPr>
            <w:tcW w:w="7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rPr>
            </w:pPr>
          </w:p>
        </w:tc>
        <w:tc>
          <w:tcPr>
            <w:tcW w:w="8807" w:type="dxa"/>
            <w:gridSpan w:val="18"/>
            <w:tcBorders>
              <w:top w:val="nil"/>
              <w:left w:val="single" w:color="auto" w:sz="4" w:space="0"/>
              <w:right w:val="single" w:color="000000" w:sz="4" w:space="0"/>
            </w:tcBorders>
          </w:tcPr>
          <w:p>
            <w:pPr>
              <w:widowControl/>
              <w:ind w:firstLine="240" w:firstLineChars="100"/>
              <w:jc w:val="left"/>
              <w:rPr>
                <w:rFonts w:ascii="宋体" w:cs="宋体"/>
                <w:kern w:val="0"/>
                <w:sz w:val="24"/>
              </w:rPr>
            </w:pPr>
            <w:r>
              <w:rPr>
                <w:rFonts w:hint="eastAsia" w:ascii="Arial" w:hAnsi="Arial" w:cs="Arial"/>
                <w:kern w:val="0"/>
                <w:sz w:val="24"/>
              </w:rPr>
              <w:t xml:space="preserve">□ </w:t>
            </w:r>
            <w:r>
              <w:rPr>
                <w:rFonts w:hint="eastAsia" w:ascii="宋体" w:cs="宋体"/>
                <w:kern w:val="0"/>
                <w:sz w:val="22"/>
              </w:rPr>
              <w:t xml:space="preserve">整体或者部分改建为有限责任公司或者股份有限公司   </w:t>
            </w:r>
            <w:r>
              <w:rPr>
                <w:rFonts w:hint="eastAsia" w:ascii="Arial" w:hAnsi="Arial" w:cs="Arial"/>
                <w:kern w:val="0"/>
                <w:sz w:val="22"/>
              </w:rPr>
              <w:t>□以非货币资产对外投资</w:t>
            </w:r>
          </w:p>
          <w:p>
            <w:pPr>
              <w:widowControl/>
              <w:ind w:firstLine="240" w:firstLineChars="100"/>
              <w:jc w:val="left"/>
              <w:rPr>
                <w:rFonts w:ascii="宋体" w:cs="宋体"/>
                <w:kern w:val="0"/>
                <w:sz w:val="24"/>
              </w:rPr>
            </w:pPr>
          </w:p>
          <w:p>
            <w:pPr>
              <w:pStyle w:val="6"/>
              <w:widowControl/>
              <w:numPr>
                <w:ilvl w:val="0"/>
                <w:numId w:val="2"/>
              </w:numPr>
              <w:ind w:left="570" w:leftChars="0" w:firstLineChars="0"/>
              <w:jc w:val="left"/>
              <w:rPr>
                <w:rFonts w:ascii="宋体" w:cs="宋体"/>
                <w:kern w:val="0"/>
                <w:sz w:val="24"/>
              </w:rPr>
            </w:pPr>
            <w:r>
              <w:rPr>
                <w:rFonts w:hint="eastAsia" w:ascii="宋体" w:cs="宋体"/>
                <w:kern w:val="0"/>
                <w:sz w:val="22"/>
              </w:rPr>
              <w:t>合并、分立、破产、解散</w:t>
            </w:r>
            <w:r>
              <w:rPr>
                <w:rFonts w:hint="eastAsia" w:ascii="宋体" w:cs="宋体"/>
                <w:kern w:val="0"/>
                <w:sz w:val="24"/>
              </w:rPr>
              <w:t xml:space="preserve">   </w:t>
            </w:r>
            <w:r>
              <w:rPr>
                <w:rFonts w:hint="eastAsia" w:ascii="Arial" w:hAnsi="Arial" w:cs="Arial"/>
                <w:kern w:val="0"/>
                <w:sz w:val="24"/>
              </w:rPr>
              <w:t xml:space="preserve">□ </w:t>
            </w:r>
            <w:r>
              <w:rPr>
                <w:rFonts w:hint="eastAsia" w:ascii="Arial" w:hAnsi="Arial" w:cs="Arial"/>
                <w:kern w:val="0"/>
                <w:sz w:val="22"/>
              </w:rPr>
              <w:t>非上市公司国有股东权比例变动</w:t>
            </w:r>
          </w:p>
          <w:p>
            <w:pPr>
              <w:widowControl/>
              <w:ind w:firstLine="240" w:firstLineChars="100"/>
              <w:jc w:val="left"/>
              <w:rPr>
                <w:rFonts w:ascii="宋体" w:cs="宋体"/>
                <w:kern w:val="0"/>
                <w:sz w:val="24"/>
              </w:rPr>
            </w:pPr>
          </w:p>
          <w:p>
            <w:pPr>
              <w:pStyle w:val="6"/>
              <w:widowControl/>
              <w:numPr>
                <w:ilvl w:val="0"/>
                <w:numId w:val="0"/>
              </w:numPr>
              <w:ind w:left="241" w:leftChars="0"/>
              <w:jc w:val="left"/>
              <w:rPr>
                <w:rFonts w:ascii="宋体" w:cs="宋体"/>
                <w:kern w:val="0"/>
                <w:sz w:val="22"/>
              </w:rPr>
            </w:pPr>
            <w:r>
              <w:rPr>
                <w:rFonts w:hint="eastAsia" w:ascii="Arial" w:hAnsi="Arial" w:cs="Arial"/>
                <w:kern w:val="0"/>
                <w:sz w:val="24"/>
              </w:rPr>
              <w:t>□</w:t>
            </w:r>
            <w:r>
              <w:rPr>
                <w:rFonts w:hint="eastAsia" w:ascii="Arial" w:hAnsi="Arial" w:cs="Arial"/>
                <w:kern w:val="0"/>
                <w:sz w:val="24"/>
                <w:lang w:val="en-US" w:eastAsia="zh-CN"/>
              </w:rPr>
              <w:t xml:space="preserve"> </w:t>
            </w:r>
            <w:r>
              <w:rPr>
                <w:rFonts w:hint="eastAsia" w:ascii="宋体" w:cs="宋体"/>
                <w:kern w:val="0"/>
                <w:sz w:val="22"/>
              </w:rPr>
              <w:t>产权转让</w:t>
            </w:r>
            <w:r>
              <w:rPr>
                <w:rFonts w:hint="eastAsia" w:ascii="宋体" w:cs="宋体"/>
                <w:kern w:val="0"/>
                <w:sz w:val="24"/>
              </w:rPr>
              <w:t xml:space="preserve">  </w:t>
            </w:r>
            <w:r>
              <w:rPr>
                <w:rFonts w:hint="eastAsia" w:ascii="Arial" w:hAnsi="Arial" w:cs="Arial"/>
                <w:kern w:val="0"/>
                <w:sz w:val="24"/>
              </w:rPr>
              <w:t>□</w:t>
            </w:r>
            <w:r>
              <w:rPr>
                <w:rFonts w:hint="eastAsia" w:ascii="宋体" w:cs="宋体"/>
                <w:kern w:val="0"/>
                <w:sz w:val="24"/>
              </w:rPr>
              <w:t xml:space="preserve"> </w:t>
            </w:r>
            <w:r>
              <w:rPr>
                <w:rFonts w:hint="eastAsia" w:ascii="宋体" w:cs="宋体"/>
                <w:kern w:val="0"/>
                <w:sz w:val="22"/>
              </w:rPr>
              <w:t>资产转让、置换</w:t>
            </w:r>
            <w:r>
              <w:rPr>
                <w:rFonts w:hint="eastAsia" w:ascii="宋体" w:cs="宋体"/>
                <w:kern w:val="0"/>
                <w:sz w:val="24"/>
              </w:rPr>
              <w:t xml:space="preserve">  </w:t>
            </w:r>
            <w:r>
              <w:rPr>
                <w:rFonts w:hint="eastAsia" w:ascii="Arial" w:hAnsi="Arial" w:cs="Arial"/>
                <w:kern w:val="0"/>
                <w:sz w:val="24"/>
              </w:rPr>
              <w:t>□</w:t>
            </w:r>
            <w:r>
              <w:rPr>
                <w:rFonts w:hint="eastAsia" w:ascii="宋体" w:cs="宋体"/>
                <w:kern w:val="0"/>
                <w:sz w:val="24"/>
              </w:rPr>
              <w:t xml:space="preserve"> </w:t>
            </w:r>
            <w:r>
              <w:rPr>
                <w:rFonts w:hint="eastAsia" w:ascii="宋体" w:cs="宋体"/>
                <w:kern w:val="0"/>
                <w:sz w:val="22"/>
              </w:rPr>
              <w:t>整体资产或者部分资产租赁给非国有单位</w:t>
            </w:r>
          </w:p>
          <w:p>
            <w:pPr>
              <w:widowControl/>
              <w:ind w:firstLine="240" w:firstLineChars="100"/>
              <w:jc w:val="left"/>
              <w:rPr>
                <w:rFonts w:ascii="宋体" w:cs="宋体"/>
                <w:kern w:val="0"/>
                <w:sz w:val="24"/>
              </w:rPr>
            </w:pPr>
          </w:p>
          <w:p>
            <w:pPr>
              <w:pStyle w:val="6"/>
              <w:widowControl/>
              <w:numPr>
                <w:ilvl w:val="0"/>
                <w:numId w:val="2"/>
              </w:numPr>
              <w:ind w:left="570" w:leftChars="0" w:firstLineChars="0"/>
              <w:jc w:val="left"/>
              <w:rPr>
                <w:rFonts w:ascii="宋体" w:cs="宋体"/>
                <w:kern w:val="0"/>
                <w:sz w:val="24"/>
              </w:rPr>
            </w:pPr>
            <w:r>
              <w:rPr>
                <w:rFonts w:hint="eastAsia" w:ascii="宋体" w:cs="宋体"/>
                <w:kern w:val="0"/>
              </w:rPr>
              <w:t>以非货币资产偿还债务</w:t>
            </w:r>
            <w:r>
              <w:rPr>
                <w:rFonts w:hint="eastAsia" w:ascii="宋体" w:cs="宋体"/>
                <w:kern w:val="0"/>
                <w:sz w:val="24"/>
              </w:rPr>
              <w:t xml:space="preserve">  </w:t>
            </w:r>
            <w:r>
              <w:rPr>
                <w:rFonts w:hint="eastAsia" w:ascii="Arial" w:hAnsi="Arial" w:cs="Arial"/>
                <w:kern w:val="0"/>
                <w:sz w:val="24"/>
              </w:rPr>
              <w:t>□</w:t>
            </w:r>
            <w:r>
              <w:rPr>
                <w:rFonts w:hint="eastAsia" w:ascii="宋体" w:cs="宋体"/>
                <w:kern w:val="0"/>
                <w:sz w:val="24"/>
              </w:rPr>
              <w:t xml:space="preserve"> </w:t>
            </w:r>
            <w:r>
              <w:rPr>
                <w:rFonts w:hint="eastAsia" w:ascii="宋体" w:cs="宋体"/>
                <w:kern w:val="0"/>
                <w:sz w:val="22"/>
              </w:rPr>
              <w:t>资产涉讼</w:t>
            </w:r>
            <w:r>
              <w:rPr>
                <w:rFonts w:hint="eastAsia" w:ascii="宋体" w:cs="宋体"/>
                <w:kern w:val="0"/>
                <w:sz w:val="24"/>
              </w:rPr>
              <w:t xml:space="preserve">  </w:t>
            </w:r>
            <w:r>
              <w:rPr>
                <w:rFonts w:hint="eastAsia" w:ascii="Arial" w:hAnsi="Arial" w:cs="Arial"/>
                <w:kern w:val="0"/>
                <w:sz w:val="24"/>
              </w:rPr>
              <w:t xml:space="preserve">□ </w:t>
            </w:r>
            <w:r>
              <w:rPr>
                <w:rFonts w:hint="eastAsia" w:ascii="Arial" w:hAnsi="Arial" w:cs="Arial"/>
                <w:kern w:val="0"/>
                <w:sz w:val="22"/>
              </w:rPr>
              <w:t>其他</w:t>
            </w:r>
          </w:p>
          <w:p>
            <w:pPr>
              <w:ind w:firstLine="240" w:firstLineChars="100"/>
              <w:jc w:val="left"/>
              <w:rPr>
                <w:rFonts w:ascii="宋体" w:cs="宋体"/>
                <w:kern w:val="0"/>
                <w:sz w:val="24"/>
              </w:rPr>
            </w:pPr>
          </w:p>
        </w:tc>
      </w:tr>
      <w:tr>
        <w:tblPrEx>
          <w:tblCellMar>
            <w:top w:w="0" w:type="dxa"/>
            <w:left w:w="108" w:type="dxa"/>
            <w:bottom w:w="0" w:type="dxa"/>
            <w:right w:w="108" w:type="dxa"/>
          </w:tblCellMar>
        </w:tblPrEx>
        <w:trPr>
          <w:trHeight w:val="499"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评估报告书编号</w:t>
            </w:r>
          </w:p>
        </w:tc>
        <w:tc>
          <w:tcPr>
            <w:tcW w:w="2515"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p>
        </w:tc>
        <w:tc>
          <w:tcPr>
            <w:tcW w:w="1705"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主要评估方法</w:t>
            </w:r>
          </w:p>
        </w:tc>
        <w:tc>
          <w:tcPr>
            <w:tcW w:w="3312" w:type="dxa"/>
            <w:gridSpan w:val="7"/>
            <w:tcBorders>
              <w:top w:val="single" w:color="auto" w:sz="4" w:space="0"/>
              <w:left w:val="nil"/>
              <w:bottom w:val="single" w:color="auto" w:sz="4" w:space="0"/>
              <w:right w:val="single" w:color="auto" w:sz="4" w:space="0"/>
            </w:tcBorders>
            <w:vAlign w:val="center"/>
          </w:tcPr>
          <w:p>
            <w:pPr>
              <w:widowControl/>
              <w:ind w:right="174" w:rightChars="83"/>
              <w:jc w:val="center"/>
              <w:rPr>
                <w:rFonts w:ascii="宋体" w:cs="宋体"/>
                <w:kern w:val="0"/>
                <w:sz w:val="24"/>
              </w:rPr>
            </w:pPr>
          </w:p>
        </w:tc>
      </w:tr>
      <w:tr>
        <w:tblPrEx>
          <w:tblCellMar>
            <w:top w:w="0" w:type="dxa"/>
            <w:left w:w="108" w:type="dxa"/>
            <w:bottom w:w="0" w:type="dxa"/>
            <w:right w:w="108" w:type="dxa"/>
          </w:tblCellMar>
        </w:tblPrEx>
        <w:trPr>
          <w:trHeight w:val="499"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评估机构名称</w:t>
            </w:r>
          </w:p>
        </w:tc>
        <w:tc>
          <w:tcPr>
            <w:tcW w:w="3120" w:type="dxa"/>
            <w:gridSpan w:val="7"/>
            <w:tcBorders>
              <w:top w:val="single" w:color="auto" w:sz="4" w:space="0"/>
              <w:left w:val="nil"/>
              <w:bottom w:val="single" w:color="auto" w:sz="4" w:space="0"/>
              <w:right w:val="single" w:color="000000" w:sz="4" w:space="0"/>
            </w:tcBorders>
            <w:vAlign w:val="center"/>
          </w:tcPr>
          <w:p>
            <w:pPr>
              <w:widowControl/>
              <w:rPr>
                <w:rFonts w:ascii="宋体" w:cs="宋体"/>
                <w:kern w:val="0"/>
                <w:sz w:val="24"/>
              </w:rPr>
            </w:pPr>
          </w:p>
        </w:tc>
        <w:tc>
          <w:tcPr>
            <w:tcW w:w="1843" w:type="dxa"/>
            <w:gridSpan w:val="4"/>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资质证书编号</w:t>
            </w:r>
          </w:p>
        </w:tc>
        <w:tc>
          <w:tcPr>
            <w:tcW w:w="2569" w:type="dxa"/>
            <w:gridSpan w:val="6"/>
            <w:tcBorders>
              <w:top w:val="single" w:color="auto" w:sz="4" w:space="0"/>
              <w:left w:val="nil"/>
              <w:bottom w:val="single" w:color="auto" w:sz="4" w:space="0"/>
              <w:right w:val="single" w:color="000000" w:sz="4" w:space="0"/>
            </w:tcBorders>
            <w:vAlign w:val="center"/>
          </w:tcPr>
          <w:p>
            <w:pPr>
              <w:widowControl/>
              <w:rPr>
                <w:rFonts w:ascii="宋体" w:cs="宋体"/>
                <w:kern w:val="0"/>
                <w:sz w:val="24"/>
              </w:rPr>
            </w:pPr>
          </w:p>
        </w:tc>
      </w:tr>
      <w:tr>
        <w:tblPrEx>
          <w:tblCellMar>
            <w:top w:w="0" w:type="dxa"/>
            <w:left w:w="108" w:type="dxa"/>
            <w:bottom w:w="0" w:type="dxa"/>
            <w:right w:w="108" w:type="dxa"/>
          </w:tblCellMar>
        </w:tblPrEx>
        <w:trPr>
          <w:trHeight w:val="499"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注册评估师姓名</w:t>
            </w:r>
          </w:p>
        </w:tc>
        <w:tc>
          <w:tcPr>
            <w:tcW w:w="1278" w:type="dxa"/>
            <w:gridSpan w:val="3"/>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c>
          <w:tcPr>
            <w:tcW w:w="1417" w:type="dxa"/>
            <w:gridSpan w:val="3"/>
            <w:tcBorders>
              <w:top w:val="single" w:color="auto" w:sz="4" w:space="0"/>
              <w:left w:val="single" w:color="auto" w:sz="4" w:space="0"/>
              <w:bottom w:val="single" w:color="auto" w:sz="4" w:space="0"/>
              <w:right w:val="single" w:color="000000" w:sz="4" w:space="0"/>
            </w:tcBorders>
            <w:vAlign w:val="center"/>
          </w:tcPr>
          <w:p>
            <w:pPr>
              <w:widowControl/>
              <w:rPr>
                <w:rFonts w:ascii="宋体" w:cs="宋体"/>
                <w:kern w:val="0"/>
                <w:sz w:val="24"/>
              </w:rPr>
            </w:pPr>
          </w:p>
        </w:tc>
        <w:tc>
          <w:tcPr>
            <w:tcW w:w="2268"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注册评估师编号</w:t>
            </w:r>
          </w:p>
        </w:tc>
        <w:tc>
          <w:tcPr>
            <w:tcW w:w="1276" w:type="dxa"/>
            <w:gridSpan w:val="5"/>
            <w:tcBorders>
              <w:top w:val="single" w:color="auto" w:sz="4" w:space="0"/>
              <w:left w:val="nil"/>
              <w:bottom w:val="single" w:color="auto" w:sz="4" w:space="0"/>
              <w:right w:val="single" w:color="000000" w:sz="4" w:space="0"/>
            </w:tcBorders>
            <w:vAlign w:val="center"/>
          </w:tcPr>
          <w:p>
            <w:pPr>
              <w:widowControl/>
              <w:ind w:firstLine="240" w:firstLineChars="100"/>
              <w:rPr>
                <w:rFonts w:ascii="宋体" w:cs="宋体"/>
                <w:kern w:val="0"/>
                <w:sz w:val="24"/>
              </w:rPr>
            </w:pPr>
          </w:p>
        </w:tc>
        <w:tc>
          <w:tcPr>
            <w:tcW w:w="1293" w:type="dxa"/>
            <w:tcBorders>
              <w:top w:val="single" w:color="auto" w:sz="4" w:space="0"/>
              <w:left w:val="nil"/>
              <w:bottom w:val="single" w:color="auto" w:sz="4" w:space="0"/>
              <w:right w:val="single" w:color="000000" w:sz="4" w:space="0"/>
            </w:tcBorders>
            <w:vAlign w:val="center"/>
          </w:tcPr>
          <w:p>
            <w:pPr>
              <w:widowControl/>
              <w:ind w:firstLine="240" w:firstLineChars="100"/>
              <w:rPr>
                <w:rFonts w:ascii="宋体" w:cs="宋体"/>
                <w:kern w:val="0"/>
                <w:sz w:val="24"/>
              </w:rPr>
            </w:pPr>
          </w:p>
        </w:tc>
      </w:tr>
      <w:tr>
        <w:tblPrEx>
          <w:tblCellMar>
            <w:top w:w="0" w:type="dxa"/>
            <w:left w:w="108" w:type="dxa"/>
            <w:bottom w:w="0" w:type="dxa"/>
            <w:right w:w="108" w:type="dxa"/>
          </w:tblCellMar>
        </w:tblPrEx>
        <w:trPr>
          <w:trHeight w:val="696"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产权持有单位</w:t>
            </w:r>
          </w:p>
          <w:p>
            <w:pPr>
              <w:widowControl/>
              <w:jc w:val="center"/>
              <w:rPr>
                <w:rFonts w:ascii="宋体" w:cs="宋体"/>
                <w:kern w:val="0"/>
                <w:sz w:val="24"/>
              </w:rPr>
            </w:pPr>
            <w:r>
              <w:rPr>
                <w:rFonts w:hint="eastAsia" w:ascii="宋体" w:cs="宋体"/>
                <w:kern w:val="0"/>
                <w:sz w:val="24"/>
              </w:rPr>
              <w:t>联系人</w:t>
            </w:r>
          </w:p>
        </w:tc>
        <w:tc>
          <w:tcPr>
            <w:tcW w:w="920"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120" w:type="dxa"/>
            <w:gridSpan w:val="2"/>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电　话</w:t>
            </w:r>
          </w:p>
        </w:tc>
        <w:tc>
          <w:tcPr>
            <w:tcW w:w="1900" w:type="dxa"/>
            <w:gridSpan w:val="4"/>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c>
          <w:tcPr>
            <w:tcW w:w="1023" w:type="dxa"/>
            <w:gridSpan w:val="3"/>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通　讯　　　　　　　　地　址</w:t>
            </w:r>
          </w:p>
        </w:tc>
        <w:tc>
          <w:tcPr>
            <w:tcW w:w="2569" w:type="dxa"/>
            <w:gridSpan w:val="6"/>
            <w:tcBorders>
              <w:top w:val="single" w:color="auto" w:sz="4" w:space="0"/>
              <w:left w:val="nil"/>
              <w:bottom w:val="single" w:color="auto" w:sz="4" w:space="0"/>
              <w:right w:val="single" w:color="auto" w:sz="4" w:space="0"/>
            </w:tcBorders>
            <w:vAlign w:val="center"/>
          </w:tcPr>
          <w:p>
            <w:pPr>
              <w:widowControl/>
              <w:rPr>
                <w:rFonts w:ascii="宋体" w:cs="宋体"/>
                <w:kern w:val="0"/>
              </w:rPr>
            </w:pPr>
          </w:p>
        </w:tc>
      </w:tr>
      <w:tr>
        <w:tblPrEx>
          <w:tblCellMar>
            <w:top w:w="0" w:type="dxa"/>
            <w:left w:w="108" w:type="dxa"/>
            <w:bottom w:w="0" w:type="dxa"/>
            <w:right w:w="108" w:type="dxa"/>
          </w:tblCellMar>
        </w:tblPrEx>
        <w:trPr>
          <w:trHeight w:val="706" w:hRule="exact"/>
        </w:trPr>
        <w:tc>
          <w:tcPr>
            <w:tcW w:w="199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所出资企业（有关部门）联系人</w:t>
            </w:r>
          </w:p>
        </w:tc>
        <w:tc>
          <w:tcPr>
            <w:tcW w:w="920" w:type="dxa"/>
            <w:gridSpan w:val="2"/>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120" w:type="dxa"/>
            <w:gridSpan w:val="2"/>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电　话</w:t>
            </w:r>
          </w:p>
        </w:tc>
        <w:tc>
          <w:tcPr>
            <w:tcW w:w="1900" w:type="dxa"/>
            <w:gridSpan w:val="4"/>
            <w:tcBorders>
              <w:top w:val="single" w:color="auto" w:sz="4" w:space="0"/>
              <w:left w:val="nil"/>
              <w:bottom w:val="single" w:color="auto" w:sz="4" w:space="0"/>
              <w:right w:val="single" w:color="auto" w:sz="4" w:space="0"/>
            </w:tcBorders>
            <w:vAlign w:val="center"/>
          </w:tcPr>
          <w:p>
            <w:pPr>
              <w:widowControl/>
              <w:rPr>
                <w:rFonts w:ascii="宋体" w:cs="宋体"/>
                <w:kern w:val="0"/>
                <w:sz w:val="24"/>
              </w:rPr>
            </w:pPr>
          </w:p>
        </w:tc>
        <w:tc>
          <w:tcPr>
            <w:tcW w:w="1023" w:type="dxa"/>
            <w:gridSpan w:val="3"/>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通　讯　　　　　　　　地　址</w:t>
            </w:r>
          </w:p>
        </w:tc>
        <w:tc>
          <w:tcPr>
            <w:tcW w:w="2569" w:type="dxa"/>
            <w:gridSpan w:val="6"/>
            <w:tcBorders>
              <w:top w:val="single" w:color="auto" w:sz="4" w:space="0"/>
              <w:left w:val="nil"/>
              <w:bottom w:val="single" w:color="auto" w:sz="4" w:space="0"/>
              <w:right w:val="single" w:color="auto" w:sz="4" w:space="0"/>
            </w:tcBorders>
            <w:vAlign w:val="center"/>
          </w:tcPr>
          <w:p>
            <w:pPr>
              <w:widowControl/>
              <w:rPr>
                <w:rFonts w:ascii="宋体" w:cs="宋体"/>
                <w:kern w:val="0"/>
              </w:rPr>
            </w:pPr>
          </w:p>
        </w:tc>
      </w:tr>
      <w:tr>
        <w:tblPrEx>
          <w:tblCellMar>
            <w:top w:w="0" w:type="dxa"/>
            <w:left w:w="108" w:type="dxa"/>
            <w:bottom w:w="0" w:type="dxa"/>
            <w:right w:w="108" w:type="dxa"/>
          </w:tblCellMar>
        </w:tblPrEx>
        <w:trPr>
          <w:trHeight w:val="960" w:hRule="atLeast"/>
        </w:trPr>
        <w:tc>
          <w:tcPr>
            <w:tcW w:w="2918" w:type="dxa"/>
            <w:gridSpan w:val="4"/>
            <w:tcBorders>
              <w:top w:val="nil"/>
              <w:left w:val="single" w:color="auto" w:sz="4" w:space="0"/>
              <w:bottom w:val="nil"/>
              <w:right w:val="single" w:color="auto" w:sz="4" w:space="0"/>
            </w:tcBorders>
            <w:vAlign w:val="center"/>
          </w:tcPr>
          <w:p>
            <w:pPr>
              <w:widowControl/>
              <w:jc w:val="center"/>
              <w:rPr>
                <w:rFonts w:ascii="宋体" w:cs="宋体"/>
                <w:kern w:val="0"/>
                <w:sz w:val="24"/>
              </w:rPr>
            </w:pPr>
            <w:r>
              <w:rPr>
                <w:rFonts w:hint="eastAsia" w:ascii="宋体" w:cs="宋体"/>
                <w:kern w:val="0"/>
                <w:sz w:val="24"/>
              </w:rPr>
              <w:t>申报备案</w:t>
            </w:r>
          </w:p>
        </w:tc>
        <w:tc>
          <w:tcPr>
            <w:tcW w:w="3020" w:type="dxa"/>
            <w:gridSpan w:val="6"/>
            <w:tcBorders>
              <w:top w:val="nil"/>
              <w:left w:val="nil"/>
              <w:bottom w:val="nil"/>
              <w:right w:val="single" w:color="auto" w:sz="4" w:space="0"/>
            </w:tcBorders>
            <w:vAlign w:val="center"/>
          </w:tcPr>
          <w:p>
            <w:pPr>
              <w:widowControl/>
              <w:jc w:val="center"/>
              <w:rPr>
                <w:rFonts w:ascii="宋体" w:cs="宋体"/>
                <w:kern w:val="0"/>
                <w:sz w:val="24"/>
              </w:rPr>
            </w:pPr>
            <w:r>
              <w:rPr>
                <w:rFonts w:hint="eastAsia" w:ascii="宋体" w:cs="宋体"/>
                <w:kern w:val="0"/>
                <w:sz w:val="24"/>
              </w:rPr>
              <w:t>同意转报备案</w:t>
            </w:r>
          </w:p>
        </w:tc>
        <w:tc>
          <w:tcPr>
            <w:tcW w:w="3592" w:type="dxa"/>
            <w:gridSpan w:val="9"/>
            <w:tcBorders>
              <w:top w:val="nil"/>
              <w:left w:val="nil"/>
              <w:bottom w:val="nil"/>
              <w:right w:val="single" w:color="auto" w:sz="4" w:space="0"/>
            </w:tcBorders>
            <w:vAlign w:val="center"/>
          </w:tcPr>
          <w:p>
            <w:pPr>
              <w:widowControl/>
              <w:jc w:val="center"/>
              <w:rPr>
                <w:rFonts w:ascii="宋体" w:cs="宋体"/>
                <w:kern w:val="0"/>
                <w:sz w:val="24"/>
              </w:rPr>
            </w:pPr>
            <w:r>
              <w:rPr>
                <w:rFonts w:hint="eastAsia" w:ascii="宋体" w:cs="宋体"/>
                <w:kern w:val="0"/>
                <w:sz w:val="24"/>
              </w:rPr>
              <w:t>备　     　案</w:t>
            </w:r>
          </w:p>
        </w:tc>
      </w:tr>
      <w:tr>
        <w:tblPrEx>
          <w:tblCellMar>
            <w:top w:w="0" w:type="dxa"/>
            <w:left w:w="108" w:type="dxa"/>
            <w:bottom w:w="0" w:type="dxa"/>
            <w:right w:w="108" w:type="dxa"/>
          </w:tblCellMar>
        </w:tblPrEx>
        <w:trPr>
          <w:cantSplit/>
          <w:trHeight w:val="375" w:hRule="atLeast"/>
        </w:trPr>
        <w:tc>
          <w:tcPr>
            <w:tcW w:w="2918" w:type="dxa"/>
            <w:gridSpan w:val="4"/>
            <w:vMerge w:val="restart"/>
            <w:tcBorders>
              <w:top w:val="nil"/>
              <w:left w:val="single" w:color="auto" w:sz="4" w:space="0"/>
              <w:bottom w:val="nil"/>
              <w:right w:val="single" w:color="000000" w:sz="4" w:space="0"/>
            </w:tcBorders>
            <w:vAlign w:val="center"/>
          </w:tcPr>
          <w:p>
            <w:pPr>
              <w:widowControl/>
              <w:jc w:val="center"/>
              <w:rPr>
                <w:rFonts w:ascii="宋体" w:cs="宋体"/>
                <w:kern w:val="0"/>
                <w:sz w:val="24"/>
              </w:rPr>
            </w:pPr>
            <w:r>
              <w:rPr>
                <w:rFonts w:hint="eastAsia" w:ascii="宋体" w:cs="宋体"/>
                <w:kern w:val="0"/>
                <w:sz w:val="24"/>
              </w:rPr>
              <w:t>产权持有单位盖章</w:t>
            </w:r>
          </w:p>
        </w:tc>
        <w:tc>
          <w:tcPr>
            <w:tcW w:w="3020" w:type="dxa"/>
            <w:gridSpan w:val="6"/>
            <w:vMerge w:val="restart"/>
            <w:tcBorders>
              <w:top w:val="nil"/>
              <w:left w:val="single" w:color="auto" w:sz="4" w:space="0"/>
              <w:bottom w:val="nil"/>
              <w:right w:val="single" w:color="000000" w:sz="4" w:space="0"/>
            </w:tcBorders>
            <w:vAlign w:val="center"/>
          </w:tcPr>
          <w:p>
            <w:pPr>
              <w:widowControl/>
              <w:jc w:val="center"/>
              <w:rPr>
                <w:rFonts w:ascii="宋体" w:cs="宋体"/>
                <w:kern w:val="0"/>
                <w:sz w:val="24"/>
              </w:rPr>
            </w:pPr>
            <w:r>
              <w:rPr>
                <w:rFonts w:hint="eastAsia" w:ascii="宋体" w:cs="宋体"/>
                <w:kern w:val="0"/>
                <w:sz w:val="24"/>
              </w:rPr>
              <w:t>上级单位盖章</w:t>
            </w:r>
          </w:p>
        </w:tc>
        <w:tc>
          <w:tcPr>
            <w:tcW w:w="3592" w:type="dxa"/>
            <w:gridSpan w:val="9"/>
            <w:tcBorders>
              <w:top w:val="nil"/>
              <w:left w:val="nil"/>
              <w:bottom w:val="nil"/>
              <w:right w:val="single" w:color="000000" w:sz="4" w:space="0"/>
            </w:tcBorders>
            <w:vAlign w:val="center"/>
          </w:tcPr>
          <w:p>
            <w:pPr>
              <w:widowControl/>
              <w:jc w:val="center"/>
              <w:rPr>
                <w:rFonts w:ascii="宋体" w:cs="宋体"/>
                <w:kern w:val="0"/>
                <w:sz w:val="24"/>
              </w:rPr>
            </w:pPr>
            <w:r>
              <w:rPr>
                <w:rFonts w:hint="eastAsia" w:ascii="宋体" w:cs="宋体"/>
                <w:kern w:val="0"/>
                <w:sz w:val="24"/>
              </w:rPr>
              <w:t>国有资产监督管理机构</w:t>
            </w:r>
          </w:p>
        </w:tc>
      </w:tr>
      <w:tr>
        <w:tblPrEx>
          <w:tblCellMar>
            <w:top w:w="0" w:type="dxa"/>
            <w:left w:w="108" w:type="dxa"/>
            <w:bottom w:w="0" w:type="dxa"/>
            <w:right w:w="108" w:type="dxa"/>
          </w:tblCellMar>
        </w:tblPrEx>
        <w:trPr>
          <w:cantSplit/>
          <w:trHeight w:val="630" w:hRule="atLeast"/>
        </w:trPr>
        <w:tc>
          <w:tcPr>
            <w:tcW w:w="2918" w:type="dxa"/>
            <w:gridSpan w:val="4"/>
            <w:vMerge w:val="continue"/>
            <w:tcBorders>
              <w:top w:val="nil"/>
              <w:left w:val="single" w:color="auto" w:sz="4" w:space="0"/>
              <w:bottom w:val="nil"/>
              <w:right w:val="single" w:color="000000" w:sz="4" w:space="0"/>
            </w:tcBorders>
            <w:vAlign w:val="center"/>
          </w:tcPr>
          <w:p>
            <w:pPr>
              <w:widowControl/>
              <w:jc w:val="center"/>
              <w:rPr>
                <w:rFonts w:ascii="宋体" w:cs="宋体"/>
                <w:kern w:val="0"/>
                <w:sz w:val="24"/>
              </w:rPr>
            </w:pPr>
          </w:p>
        </w:tc>
        <w:tc>
          <w:tcPr>
            <w:tcW w:w="3020" w:type="dxa"/>
            <w:gridSpan w:val="6"/>
            <w:vMerge w:val="continue"/>
            <w:tcBorders>
              <w:top w:val="nil"/>
              <w:left w:val="single" w:color="auto" w:sz="4" w:space="0"/>
              <w:bottom w:val="nil"/>
              <w:right w:val="single" w:color="000000" w:sz="4" w:space="0"/>
            </w:tcBorders>
            <w:vAlign w:val="center"/>
          </w:tcPr>
          <w:p>
            <w:pPr>
              <w:widowControl/>
              <w:jc w:val="center"/>
              <w:rPr>
                <w:rFonts w:ascii="宋体" w:cs="宋体"/>
                <w:kern w:val="0"/>
                <w:sz w:val="24"/>
              </w:rPr>
            </w:pPr>
          </w:p>
        </w:tc>
        <w:tc>
          <w:tcPr>
            <w:tcW w:w="3592" w:type="dxa"/>
            <w:gridSpan w:val="9"/>
            <w:tcBorders>
              <w:top w:val="nil"/>
              <w:left w:val="nil"/>
              <w:bottom w:val="nil"/>
              <w:right w:val="single" w:color="auto" w:sz="4" w:space="0"/>
            </w:tcBorders>
            <w:vAlign w:val="center"/>
          </w:tcPr>
          <w:p>
            <w:pPr>
              <w:widowControl/>
              <w:jc w:val="center"/>
              <w:rPr>
                <w:rFonts w:ascii="宋体" w:cs="宋体"/>
                <w:kern w:val="0"/>
                <w:sz w:val="24"/>
              </w:rPr>
            </w:pPr>
            <w:r>
              <w:rPr>
                <w:rFonts w:hint="eastAsia" w:ascii="宋体" w:cs="宋体"/>
                <w:kern w:val="0"/>
                <w:sz w:val="24"/>
              </w:rPr>
              <w:t>（所出资企业、有关部门）</w:t>
            </w:r>
          </w:p>
        </w:tc>
      </w:tr>
      <w:tr>
        <w:tblPrEx>
          <w:tblCellMar>
            <w:top w:w="0" w:type="dxa"/>
            <w:left w:w="108" w:type="dxa"/>
            <w:bottom w:w="0" w:type="dxa"/>
            <w:right w:w="108" w:type="dxa"/>
          </w:tblCellMar>
        </w:tblPrEx>
        <w:trPr>
          <w:trHeight w:val="585" w:hRule="atLeast"/>
        </w:trPr>
        <w:tc>
          <w:tcPr>
            <w:tcW w:w="2918" w:type="dxa"/>
            <w:gridSpan w:val="4"/>
            <w:tcBorders>
              <w:top w:val="nil"/>
              <w:left w:val="single" w:color="auto" w:sz="4" w:space="0"/>
              <w:bottom w:val="nil"/>
              <w:right w:val="single" w:color="auto" w:sz="4" w:space="0"/>
            </w:tcBorders>
            <w:vAlign w:val="center"/>
          </w:tcPr>
          <w:p>
            <w:pPr>
              <w:widowControl/>
              <w:jc w:val="left"/>
              <w:rPr>
                <w:rFonts w:ascii="宋体" w:cs="宋体"/>
                <w:kern w:val="0"/>
                <w:sz w:val="24"/>
              </w:rPr>
            </w:pPr>
            <w:r>
              <w:rPr>
                <w:rFonts w:hint="eastAsia" w:ascii="宋体" w:cs="宋体"/>
                <w:kern w:val="0"/>
                <w:sz w:val="24"/>
              </w:rPr>
              <w:t xml:space="preserve">法人代表人签字： </w:t>
            </w:r>
          </w:p>
        </w:tc>
        <w:tc>
          <w:tcPr>
            <w:tcW w:w="3020" w:type="dxa"/>
            <w:gridSpan w:val="6"/>
            <w:tcBorders>
              <w:top w:val="nil"/>
              <w:left w:val="nil"/>
              <w:bottom w:val="nil"/>
              <w:right w:val="single" w:color="auto" w:sz="4" w:space="0"/>
            </w:tcBorders>
            <w:vAlign w:val="center"/>
          </w:tcPr>
          <w:p>
            <w:pPr>
              <w:widowControl/>
              <w:jc w:val="left"/>
              <w:rPr>
                <w:rFonts w:ascii="宋体" w:cs="宋体"/>
                <w:kern w:val="0"/>
                <w:sz w:val="24"/>
              </w:rPr>
            </w:pPr>
            <w:r>
              <w:rPr>
                <w:rFonts w:hint="eastAsia" w:ascii="宋体" w:cs="宋体"/>
                <w:kern w:val="0"/>
                <w:sz w:val="24"/>
              </w:rPr>
              <w:t xml:space="preserve">单位领导签字： </w:t>
            </w:r>
          </w:p>
        </w:tc>
        <w:tc>
          <w:tcPr>
            <w:tcW w:w="3592" w:type="dxa"/>
            <w:gridSpan w:val="9"/>
            <w:tcBorders>
              <w:top w:val="nil"/>
              <w:left w:val="nil"/>
              <w:bottom w:val="nil"/>
              <w:right w:val="single" w:color="auto" w:sz="4" w:space="0"/>
            </w:tcBorders>
            <w:vAlign w:val="center"/>
          </w:tcPr>
          <w:p>
            <w:pPr>
              <w:widowControl/>
              <w:rPr>
                <w:rFonts w:ascii="宋体" w:cs="宋体"/>
                <w:kern w:val="0"/>
                <w:sz w:val="24"/>
              </w:rPr>
            </w:pPr>
          </w:p>
        </w:tc>
      </w:tr>
      <w:tr>
        <w:tblPrEx>
          <w:tblCellMar>
            <w:top w:w="0" w:type="dxa"/>
            <w:left w:w="108" w:type="dxa"/>
            <w:bottom w:w="0" w:type="dxa"/>
            <w:right w:w="108" w:type="dxa"/>
          </w:tblCellMar>
        </w:tblPrEx>
        <w:trPr>
          <w:trHeight w:val="465" w:hRule="exact"/>
        </w:trPr>
        <w:tc>
          <w:tcPr>
            <w:tcW w:w="2918" w:type="dxa"/>
            <w:gridSpan w:val="4"/>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sz w:val="24"/>
                <w:szCs w:val="32"/>
              </w:rPr>
              <w:t xml:space="preserve">      </w:t>
            </w:r>
            <w:r>
              <w:rPr>
                <w:rFonts w:hint="eastAsia" w:ascii="宋体" w:cs="宋体"/>
                <w:kern w:val="0"/>
                <w:sz w:val="24"/>
              </w:rPr>
              <w:t>年</w:t>
            </w:r>
            <w:r>
              <w:rPr>
                <w:rFonts w:hint="eastAsia"/>
                <w:sz w:val="24"/>
                <w:szCs w:val="32"/>
              </w:rPr>
              <w:t xml:space="preserve">  </w:t>
            </w:r>
            <w:r>
              <w:rPr>
                <w:rFonts w:hint="eastAsia" w:ascii="宋体" w:cs="宋体"/>
                <w:kern w:val="0"/>
                <w:sz w:val="24"/>
              </w:rPr>
              <w:t>月</w:t>
            </w:r>
            <w:r>
              <w:rPr>
                <w:rFonts w:hint="eastAsia"/>
                <w:sz w:val="24"/>
                <w:szCs w:val="32"/>
              </w:rPr>
              <w:t xml:space="preserve">   </w:t>
            </w:r>
            <w:r>
              <w:rPr>
                <w:rFonts w:hint="eastAsia" w:ascii="宋体" w:cs="宋体"/>
                <w:kern w:val="0"/>
                <w:sz w:val="24"/>
              </w:rPr>
              <w:t>日</w:t>
            </w:r>
          </w:p>
        </w:tc>
        <w:tc>
          <w:tcPr>
            <w:tcW w:w="3020" w:type="dxa"/>
            <w:gridSpan w:val="6"/>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年  月  日</w:t>
            </w:r>
          </w:p>
        </w:tc>
        <w:tc>
          <w:tcPr>
            <w:tcW w:w="3592" w:type="dxa"/>
            <w:gridSpan w:val="9"/>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年  月   日</w:t>
            </w:r>
          </w:p>
        </w:tc>
      </w:tr>
    </w:tbl>
    <w:p/>
    <w:p/>
    <w:tbl>
      <w:tblPr>
        <w:tblStyle w:val="3"/>
        <w:tblW w:w="10001" w:type="dxa"/>
        <w:tblInd w:w="108" w:type="dxa"/>
        <w:tblLayout w:type="fixed"/>
        <w:tblCellMar>
          <w:top w:w="0" w:type="dxa"/>
          <w:left w:w="108" w:type="dxa"/>
          <w:bottom w:w="0" w:type="dxa"/>
          <w:right w:w="108" w:type="dxa"/>
        </w:tblCellMar>
      </w:tblPr>
      <w:tblGrid>
        <w:gridCol w:w="2694"/>
        <w:gridCol w:w="1984"/>
        <w:gridCol w:w="1843"/>
        <w:gridCol w:w="271"/>
        <w:gridCol w:w="118"/>
        <w:gridCol w:w="1312"/>
        <w:gridCol w:w="247"/>
        <w:gridCol w:w="1296"/>
        <w:gridCol w:w="16"/>
        <w:gridCol w:w="220"/>
      </w:tblGrid>
      <w:tr>
        <w:tblPrEx>
          <w:tblCellMar>
            <w:top w:w="0" w:type="dxa"/>
            <w:left w:w="108" w:type="dxa"/>
            <w:bottom w:w="0" w:type="dxa"/>
            <w:right w:w="108" w:type="dxa"/>
          </w:tblCellMar>
        </w:tblPrEx>
        <w:trPr>
          <w:gridAfter w:val="1"/>
          <w:wAfter w:w="220" w:type="dxa"/>
          <w:trHeight w:val="765" w:hRule="atLeast"/>
        </w:trPr>
        <w:tc>
          <w:tcPr>
            <w:tcW w:w="9781" w:type="dxa"/>
            <w:gridSpan w:val="9"/>
            <w:tcBorders>
              <w:top w:val="nil"/>
              <w:left w:val="nil"/>
              <w:bottom w:val="nil"/>
              <w:right w:val="nil"/>
            </w:tcBorders>
          </w:tcPr>
          <w:p>
            <w:pPr>
              <w:widowControl/>
              <w:jc w:val="center"/>
              <w:rPr>
                <w:rFonts w:ascii="华文中宋" w:hAnsi="华文中宋" w:eastAsia="华文中宋" w:cs="宋体"/>
                <w:kern w:val="0"/>
                <w:sz w:val="40"/>
                <w:szCs w:val="40"/>
              </w:rPr>
            </w:pPr>
            <w:r>
              <w:rPr>
                <w:rFonts w:hint="eastAsia" w:ascii="华文中宋" w:hAnsi="华文中宋" w:eastAsia="华文中宋" w:cs="宋体"/>
                <w:kern w:val="0"/>
                <w:sz w:val="40"/>
                <w:szCs w:val="40"/>
              </w:rPr>
              <w:t>资产评估详细结果</w:t>
            </w:r>
          </w:p>
        </w:tc>
      </w:tr>
      <w:tr>
        <w:tblPrEx>
          <w:tblCellMar>
            <w:top w:w="0" w:type="dxa"/>
            <w:left w:w="108" w:type="dxa"/>
            <w:bottom w:w="0" w:type="dxa"/>
            <w:right w:w="108" w:type="dxa"/>
          </w:tblCellMar>
        </w:tblPrEx>
        <w:trPr>
          <w:trHeight w:val="489" w:hRule="atLeast"/>
        </w:trPr>
        <w:tc>
          <w:tcPr>
            <w:tcW w:w="2694" w:type="dxa"/>
            <w:tcBorders>
              <w:top w:val="nil"/>
              <w:left w:val="nil"/>
              <w:bottom w:val="nil"/>
              <w:right w:val="nil"/>
            </w:tcBorders>
          </w:tcPr>
          <w:p>
            <w:pPr>
              <w:widowControl/>
              <w:jc w:val="center"/>
              <w:rPr>
                <w:rFonts w:ascii="宋体" w:cs="宋体"/>
                <w:b/>
                <w:bCs/>
                <w:kern w:val="0"/>
                <w:sz w:val="36"/>
                <w:szCs w:val="36"/>
              </w:rPr>
            </w:pPr>
          </w:p>
        </w:tc>
        <w:tc>
          <w:tcPr>
            <w:tcW w:w="1984" w:type="dxa"/>
            <w:tcBorders>
              <w:top w:val="nil"/>
              <w:left w:val="nil"/>
              <w:bottom w:val="nil"/>
              <w:right w:val="nil"/>
            </w:tcBorders>
          </w:tcPr>
          <w:p>
            <w:pPr>
              <w:widowControl/>
              <w:jc w:val="center"/>
              <w:rPr>
                <w:rFonts w:ascii="宋体" w:cs="宋体"/>
                <w:b/>
                <w:bCs/>
                <w:kern w:val="0"/>
                <w:sz w:val="36"/>
                <w:szCs w:val="36"/>
              </w:rPr>
            </w:pPr>
          </w:p>
        </w:tc>
        <w:tc>
          <w:tcPr>
            <w:tcW w:w="2232" w:type="dxa"/>
            <w:gridSpan w:val="3"/>
            <w:tcBorders>
              <w:top w:val="nil"/>
              <w:left w:val="nil"/>
              <w:bottom w:val="nil"/>
              <w:right w:val="nil"/>
            </w:tcBorders>
          </w:tcPr>
          <w:p>
            <w:pPr>
              <w:widowControl/>
              <w:jc w:val="center"/>
              <w:rPr>
                <w:rFonts w:ascii="宋体" w:cs="宋体"/>
                <w:b/>
                <w:bCs/>
                <w:kern w:val="0"/>
                <w:sz w:val="36"/>
                <w:szCs w:val="36"/>
              </w:rPr>
            </w:pPr>
          </w:p>
        </w:tc>
        <w:tc>
          <w:tcPr>
            <w:tcW w:w="1559" w:type="dxa"/>
            <w:gridSpan w:val="2"/>
            <w:tcBorders>
              <w:top w:val="nil"/>
              <w:left w:val="nil"/>
              <w:bottom w:val="nil"/>
              <w:right w:val="nil"/>
            </w:tcBorders>
          </w:tcPr>
          <w:p>
            <w:pPr>
              <w:widowControl/>
              <w:jc w:val="center"/>
              <w:rPr>
                <w:rFonts w:ascii="宋体" w:cs="宋体"/>
                <w:b/>
                <w:bCs/>
                <w:kern w:val="0"/>
                <w:sz w:val="36"/>
                <w:szCs w:val="36"/>
              </w:rPr>
            </w:pPr>
          </w:p>
        </w:tc>
        <w:tc>
          <w:tcPr>
            <w:tcW w:w="1296" w:type="dxa"/>
            <w:tcBorders>
              <w:top w:val="nil"/>
              <w:left w:val="nil"/>
              <w:bottom w:val="nil"/>
              <w:right w:val="nil"/>
            </w:tcBorders>
          </w:tcPr>
          <w:p>
            <w:pPr>
              <w:widowControl/>
              <w:jc w:val="center"/>
              <w:rPr>
                <w:rFonts w:ascii="宋体" w:cs="宋体"/>
                <w:b/>
                <w:bCs/>
                <w:kern w:val="0"/>
                <w:sz w:val="36"/>
                <w:szCs w:val="36"/>
              </w:rPr>
            </w:pPr>
          </w:p>
        </w:tc>
        <w:tc>
          <w:tcPr>
            <w:tcW w:w="236" w:type="dxa"/>
            <w:gridSpan w:val="2"/>
            <w:tcBorders>
              <w:top w:val="nil"/>
              <w:left w:val="nil"/>
              <w:bottom w:val="nil"/>
              <w:right w:val="nil"/>
            </w:tcBorders>
          </w:tcPr>
          <w:p>
            <w:pPr>
              <w:widowControl/>
              <w:jc w:val="center"/>
              <w:rPr>
                <w:rFonts w:ascii="宋体" w:cs="宋体"/>
                <w:b/>
                <w:bCs/>
                <w:kern w:val="0"/>
                <w:sz w:val="36"/>
                <w:szCs w:val="36"/>
              </w:rPr>
            </w:pPr>
          </w:p>
        </w:tc>
      </w:tr>
      <w:tr>
        <w:tblPrEx>
          <w:tblCellMar>
            <w:top w:w="0" w:type="dxa"/>
            <w:left w:w="108" w:type="dxa"/>
            <w:bottom w:w="0" w:type="dxa"/>
            <w:right w:w="108" w:type="dxa"/>
          </w:tblCellMar>
        </w:tblPrEx>
        <w:trPr>
          <w:trHeight w:val="323" w:hRule="exact"/>
        </w:trPr>
        <w:tc>
          <w:tcPr>
            <w:tcW w:w="2694" w:type="dxa"/>
            <w:tcBorders>
              <w:top w:val="nil"/>
              <w:left w:val="nil"/>
              <w:bottom w:val="nil"/>
              <w:right w:val="nil"/>
            </w:tcBorders>
            <w:vAlign w:val="center"/>
          </w:tcPr>
          <w:p>
            <w:pPr>
              <w:widowControl/>
              <w:jc w:val="left"/>
              <w:rPr>
                <w:rFonts w:ascii="宋体" w:cs="宋体"/>
                <w:kern w:val="0"/>
                <w:sz w:val="24"/>
              </w:rPr>
            </w:pPr>
            <w:r>
              <w:rPr>
                <w:rFonts w:hint="eastAsia" w:ascii="宋体" w:cs="宋体"/>
                <w:kern w:val="0"/>
                <w:sz w:val="24"/>
              </w:rPr>
              <w:t>评  估  基  准   日：</w:t>
            </w:r>
          </w:p>
        </w:tc>
        <w:tc>
          <w:tcPr>
            <w:tcW w:w="4216" w:type="dxa"/>
            <w:gridSpan w:val="4"/>
            <w:tcBorders>
              <w:top w:val="nil"/>
              <w:left w:val="nil"/>
              <w:bottom w:val="nil"/>
              <w:right w:val="nil"/>
            </w:tcBorders>
            <w:vAlign w:val="center"/>
          </w:tcPr>
          <w:p>
            <w:pPr>
              <w:widowControl/>
              <w:tabs>
                <w:tab w:val="left" w:pos="252"/>
              </w:tabs>
              <w:ind w:firstLine="315" w:firstLineChars="150"/>
              <w:jc w:val="left"/>
              <w:rPr>
                <w:rFonts w:ascii="宋体" w:cs="宋体"/>
                <w:kern w:val="0"/>
                <w:sz w:val="24"/>
              </w:rPr>
            </w:pPr>
            <w:r>
              <w:rPr>
                <w:rFonts w:hint="eastAsia"/>
              </w:rPr>
              <w:tab/>
            </w:r>
            <w:r>
              <w:rPr>
                <w:rFonts w:hint="eastAsia"/>
              </w:rPr>
              <w:t xml:space="preserve">年    </w:t>
            </w:r>
            <w:r>
              <w:rPr>
                <w:rFonts w:hint="eastAsia" w:ascii="宋体" w:cs="宋体"/>
                <w:kern w:val="0"/>
                <w:sz w:val="24"/>
              </w:rPr>
              <w:t xml:space="preserve">月 </w:t>
            </w:r>
            <w:r>
              <w:rPr>
                <w:rFonts w:hint="eastAsia"/>
                <w:sz w:val="24"/>
                <w:szCs w:val="32"/>
              </w:rPr>
              <w:t xml:space="preserve"> </w:t>
            </w:r>
            <w:r>
              <w:rPr>
                <w:rFonts w:hint="eastAsia"/>
              </w:rPr>
              <w:tab/>
            </w:r>
            <w:r>
              <w:rPr>
                <w:rFonts w:hint="eastAsia" w:ascii="宋体" w:cs="宋体"/>
                <w:kern w:val="0"/>
                <w:sz w:val="24"/>
              </w:rPr>
              <w:t>日</w:t>
            </w:r>
          </w:p>
        </w:tc>
        <w:tc>
          <w:tcPr>
            <w:tcW w:w="1559" w:type="dxa"/>
            <w:gridSpan w:val="2"/>
            <w:tcBorders>
              <w:top w:val="nil"/>
              <w:left w:val="nil"/>
              <w:bottom w:val="nil"/>
              <w:right w:val="nil"/>
            </w:tcBorders>
            <w:vAlign w:val="center"/>
          </w:tcPr>
          <w:p>
            <w:pPr>
              <w:widowControl/>
              <w:jc w:val="left"/>
              <w:rPr>
                <w:rFonts w:ascii="宋体" w:cs="宋体"/>
                <w:kern w:val="0"/>
                <w:sz w:val="24"/>
              </w:rPr>
            </w:pPr>
          </w:p>
        </w:tc>
        <w:tc>
          <w:tcPr>
            <w:tcW w:w="1296" w:type="dxa"/>
            <w:tcBorders>
              <w:top w:val="nil"/>
              <w:left w:val="nil"/>
              <w:bottom w:val="nil"/>
              <w:right w:val="nil"/>
            </w:tcBorders>
            <w:vAlign w:val="center"/>
          </w:tcPr>
          <w:p>
            <w:pPr>
              <w:widowControl/>
              <w:jc w:val="left"/>
              <w:rPr>
                <w:rFonts w:ascii="宋体" w:cs="宋体"/>
                <w:kern w:val="0"/>
                <w:sz w:val="24"/>
              </w:rPr>
            </w:pPr>
          </w:p>
        </w:tc>
        <w:tc>
          <w:tcPr>
            <w:tcW w:w="236" w:type="dxa"/>
            <w:gridSpan w:val="2"/>
            <w:tcBorders>
              <w:top w:val="nil"/>
              <w:left w:val="nil"/>
              <w:bottom w:val="nil"/>
              <w:right w:val="nil"/>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284" w:hRule="exact"/>
        </w:trPr>
        <w:tc>
          <w:tcPr>
            <w:tcW w:w="2694" w:type="dxa"/>
            <w:tcBorders>
              <w:top w:val="nil"/>
              <w:left w:val="nil"/>
              <w:bottom w:val="nil"/>
              <w:right w:val="nil"/>
            </w:tcBorders>
            <w:vAlign w:val="center"/>
          </w:tcPr>
          <w:p>
            <w:pPr>
              <w:widowControl/>
              <w:ind w:right="-533" w:rightChars="-254"/>
              <w:jc w:val="left"/>
              <w:rPr>
                <w:rFonts w:ascii="宋体" w:cs="宋体"/>
                <w:kern w:val="0"/>
                <w:sz w:val="24"/>
              </w:rPr>
            </w:pPr>
            <w:r>
              <w:rPr>
                <w:rFonts w:hint="eastAsia" w:ascii="宋体" w:cs="宋体"/>
                <w:kern w:val="0"/>
                <w:sz w:val="24"/>
              </w:rPr>
              <w:t>评估结果使用有效期至：</w:t>
            </w:r>
          </w:p>
        </w:tc>
        <w:tc>
          <w:tcPr>
            <w:tcW w:w="4098" w:type="dxa"/>
            <w:gridSpan w:val="3"/>
            <w:tcBorders>
              <w:top w:val="nil"/>
              <w:left w:val="nil"/>
              <w:bottom w:val="nil"/>
              <w:right w:val="nil"/>
            </w:tcBorders>
            <w:vAlign w:val="center"/>
          </w:tcPr>
          <w:p>
            <w:pPr>
              <w:widowControl/>
              <w:ind w:firstLine="210" w:firstLineChars="100"/>
              <w:jc w:val="left"/>
              <w:rPr>
                <w:rFonts w:ascii="宋体" w:cs="宋体"/>
                <w:kern w:val="0"/>
                <w:sz w:val="24"/>
              </w:rPr>
            </w:pPr>
            <w:r>
              <w:rPr>
                <w:rFonts w:hint="eastAsia"/>
              </w:rPr>
              <w:tab/>
            </w:r>
            <w:r>
              <w:rPr>
                <w:rFonts w:hint="eastAsia"/>
              </w:rPr>
              <w:t xml:space="preserve">年    </w:t>
            </w:r>
            <w:r>
              <w:rPr>
                <w:rFonts w:hint="eastAsia" w:ascii="宋体" w:cs="宋体"/>
                <w:kern w:val="0"/>
                <w:sz w:val="24"/>
              </w:rPr>
              <w:t xml:space="preserve">月 </w:t>
            </w:r>
            <w:r>
              <w:rPr>
                <w:rFonts w:hint="eastAsia"/>
                <w:sz w:val="24"/>
                <w:szCs w:val="32"/>
              </w:rPr>
              <w:t xml:space="preserve"> </w:t>
            </w:r>
            <w:r>
              <w:rPr>
                <w:rFonts w:hint="eastAsia"/>
              </w:rPr>
              <w:tab/>
            </w:r>
            <w:r>
              <w:rPr>
                <w:rFonts w:hint="eastAsia" w:ascii="宋体" w:cs="宋体"/>
                <w:kern w:val="0"/>
                <w:sz w:val="24"/>
              </w:rPr>
              <w:t>日</w:t>
            </w:r>
          </w:p>
        </w:tc>
        <w:tc>
          <w:tcPr>
            <w:tcW w:w="2989" w:type="dxa"/>
            <w:gridSpan w:val="5"/>
            <w:tcBorders>
              <w:top w:val="nil"/>
              <w:left w:val="nil"/>
              <w:bottom w:val="nil"/>
              <w:right w:val="nil"/>
            </w:tcBorders>
            <w:vAlign w:val="center"/>
          </w:tcPr>
          <w:p>
            <w:pPr>
              <w:widowControl/>
              <w:ind w:right="480"/>
              <w:rPr>
                <w:rFonts w:ascii="宋体" w:cs="宋体"/>
                <w:kern w:val="0"/>
                <w:sz w:val="24"/>
              </w:rPr>
            </w:pPr>
            <w:r>
              <w:rPr>
                <w:rFonts w:hint="eastAsia" w:ascii="宋体" w:cs="宋体"/>
                <w:kern w:val="0"/>
                <w:sz w:val="24"/>
              </w:rPr>
              <w:t>金额单位</w:t>
            </w:r>
            <w:r>
              <w:rPr>
                <w:rFonts w:hint="eastAsia" w:ascii="宋体" w:cs="宋体"/>
                <w:kern w:val="0"/>
                <w:sz w:val="24"/>
                <w:lang w:eastAsia="zh-CN"/>
              </w:rPr>
              <w:t>：</w:t>
            </w:r>
            <w:r>
              <w:rPr>
                <w:rFonts w:hint="eastAsia" w:ascii="宋体" w:cs="宋体"/>
                <w:kern w:val="0"/>
                <w:sz w:val="24"/>
              </w:rPr>
              <w:t>人民币万</w:t>
            </w:r>
            <w:r>
              <w:rPr>
                <w:rFonts w:hint="eastAsia" w:ascii="宋体" w:cs="宋体"/>
                <w:kern w:val="0"/>
                <w:sz w:val="24"/>
                <w:lang w:eastAsia="zh-CN"/>
              </w:rPr>
              <w:t>元</w:t>
            </w:r>
            <w:r>
              <w:rPr>
                <w:rFonts w:hint="eastAsia" w:ascii="宋体" w:cs="宋体"/>
                <w:kern w:val="0"/>
                <w:sz w:val="24"/>
              </w:rPr>
              <w:t>元</w:t>
            </w:r>
          </w:p>
        </w:tc>
      </w:tr>
      <w:tr>
        <w:tblPrEx>
          <w:tblCellMar>
            <w:top w:w="0" w:type="dxa"/>
            <w:left w:w="108" w:type="dxa"/>
            <w:bottom w:w="0" w:type="dxa"/>
            <w:right w:w="108" w:type="dxa"/>
          </w:tblCellMar>
        </w:tblPrEx>
        <w:trPr>
          <w:gridAfter w:val="1"/>
          <w:wAfter w:w="220" w:type="dxa"/>
          <w:trHeight w:val="702" w:hRule="atLeast"/>
        </w:trPr>
        <w:tc>
          <w:tcPr>
            <w:tcW w:w="26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项　　目</w:t>
            </w:r>
          </w:p>
        </w:tc>
        <w:tc>
          <w:tcPr>
            <w:tcW w:w="1984"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帐面价值</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评估价值</w:t>
            </w:r>
          </w:p>
        </w:tc>
        <w:tc>
          <w:tcPr>
            <w:tcW w:w="1701"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增减值</w:t>
            </w:r>
          </w:p>
        </w:tc>
        <w:tc>
          <w:tcPr>
            <w:tcW w:w="1559"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增减率（％）</w:t>
            </w: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流动资产</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长期投资</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其中：长期股权投资</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ind w:firstLine="720" w:firstLineChars="300"/>
              <w:jc w:val="left"/>
              <w:rPr>
                <w:rFonts w:ascii="宋体" w:cs="宋体"/>
                <w:kern w:val="0"/>
                <w:sz w:val="24"/>
              </w:rPr>
            </w:pPr>
            <w:r>
              <w:rPr>
                <w:rFonts w:hint="eastAsia" w:ascii="宋体" w:cs="宋体"/>
                <w:kern w:val="0"/>
                <w:sz w:val="24"/>
              </w:rPr>
              <w:t>投资性房地产</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　　　固定资产</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　　　在建工程</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ind w:firstLine="720" w:firstLineChars="300"/>
              <w:jc w:val="left"/>
              <w:rPr>
                <w:rFonts w:ascii="宋体" w:cs="宋体"/>
                <w:kern w:val="0"/>
                <w:sz w:val="24"/>
              </w:rPr>
            </w:pPr>
            <w:r>
              <w:rPr>
                <w:rFonts w:hint="eastAsia" w:ascii="宋体" w:cs="宋体"/>
                <w:kern w:val="0"/>
                <w:sz w:val="24"/>
              </w:rPr>
              <w:t>无形资产</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912"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hint="eastAsia" w:ascii="宋体" w:cs="宋体"/>
                <w:kern w:val="0"/>
                <w:sz w:val="24"/>
              </w:rPr>
            </w:pPr>
            <w:r>
              <w:rPr>
                <w:rFonts w:hint="eastAsia" w:ascii="宋体" w:cs="宋体"/>
                <w:kern w:val="0"/>
                <w:sz w:val="24"/>
              </w:rPr>
              <w:t>其中：无形资产</w:t>
            </w:r>
          </w:p>
          <w:p>
            <w:pPr>
              <w:widowControl/>
              <w:ind w:firstLine="720" w:firstLineChars="300"/>
              <w:jc w:val="left"/>
              <w:rPr>
                <w:rFonts w:ascii="宋体" w:cs="宋体"/>
                <w:kern w:val="0"/>
                <w:sz w:val="24"/>
              </w:rPr>
            </w:pPr>
            <w:r>
              <w:rPr>
                <w:rFonts w:hint="eastAsia" w:ascii="宋体" w:cs="宋体"/>
                <w:kern w:val="0"/>
                <w:sz w:val="24"/>
              </w:rPr>
              <w:t>--土地使用权</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cs="宋体"/>
                <w:kern w:val="0"/>
                <w:sz w:val="24"/>
              </w:rPr>
              <w:t xml:space="preserve">     其他非流动资产</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center"/>
              <w:rPr>
                <w:rFonts w:ascii="黑体" w:eastAsia="黑体" w:cs="宋体"/>
                <w:kern w:val="0"/>
                <w:sz w:val="24"/>
              </w:rPr>
            </w:pPr>
            <w:r>
              <w:rPr>
                <w:rFonts w:hint="eastAsia" w:ascii="黑体" w:eastAsia="黑体" w:cs="宋体"/>
                <w:kern w:val="0"/>
                <w:sz w:val="24"/>
              </w:rPr>
              <w:t>资产总计</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流动负债</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left"/>
              <w:rPr>
                <w:rFonts w:ascii="宋体" w:cs="宋体"/>
                <w:kern w:val="0"/>
                <w:sz w:val="24"/>
              </w:rPr>
            </w:pPr>
            <w:r>
              <w:rPr>
                <w:rFonts w:hint="eastAsia" w:ascii="宋体" w:cs="宋体"/>
                <w:kern w:val="0"/>
                <w:sz w:val="24"/>
              </w:rPr>
              <w:t>非流动负债</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center"/>
              <w:rPr>
                <w:rFonts w:ascii="黑体" w:eastAsia="黑体" w:cs="宋体"/>
                <w:kern w:val="0"/>
                <w:sz w:val="24"/>
              </w:rPr>
            </w:pPr>
            <w:r>
              <w:rPr>
                <w:rFonts w:hint="eastAsia" w:ascii="黑体" w:eastAsia="黑体" w:cs="宋体"/>
                <w:kern w:val="0"/>
                <w:sz w:val="24"/>
              </w:rPr>
              <w:t>负债总计</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703" w:hRule="exact"/>
        </w:trPr>
        <w:tc>
          <w:tcPr>
            <w:tcW w:w="2694" w:type="dxa"/>
            <w:tcBorders>
              <w:top w:val="nil"/>
              <w:left w:val="single" w:color="auto" w:sz="4" w:space="0"/>
              <w:bottom w:val="single" w:color="auto" w:sz="4" w:space="0"/>
              <w:right w:val="single" w:color="auto" w:sz="4" w:space="0"/>
            </w:tcBorders>
            <w:vAlign w:val="center"/>
          </w:tcPr>
          <w:p>
            <w:pPr>
              <w:widowControl/>
              <w:jc w:val="center"/>
              <w:rPr>
                <w:rFonts w:ascii="黑体" w:eastAsia="黑体" w:cs="宋体"/>
                <w:kern w:val="0"/>
                <w:sz w:val="24"/>
              </w:rPr>
            </w:pPr>
            <w:r>
              <w:rPr>
                <w:rFonts w:hint="eastAsia" w:ascii="黑体" w:eastAsia="黑体" w:cs="宋体"/>
                <w:kern w:val="0"/>
                <w:sz w:val="24"/>
              </w:rPr>
              <w:t>净 资 产</w:t>
            </w:r>
          </w:p>
        </w:tc>
        <w:tc>
          <w:tcPr>
            <w:tcW w:w="1984" w:type="dxa"/>
            <w:tcBorders>
              <w:top w:val="nil"/>
              <w:left w:val="nil"/>
              <w:bottom w:val="single" w:color="auto" w:sz="4" w:space="0"/>
              <w:right w:val="single" w:color="auto" w:sz="4" w:space="0"/>
            </w:tcBorders>
            <w:vAlign w:val="center"/>
          </w:tcPr>
          <w:p>
            <w:pPr>
              <w:widowControl/>
              <w:jc w:val="left"/>
              <w:rPr>
                <w:rFonts w:ascii="宋体" w:cs="宋体"/>
                <w:kern w:val="0"/>
                <w:sz w:val="24"/>
              </w:rPr>
            </w:pPr>
          </w:p>
        </w:tc>
        <w:tc>
          <w:tcPr>
            <w:tcW w:w="1843" w:type="dxa"/>
            <w:tcBorders>
              <w:top w:val="nil"/>
              <w:left w:val="nil"/>
              <w:bottom w:val="single" w:color="auto" w:sz="4" w:space="0"/>
              <w:right w:val="single" w:color="auto" w:sz="4" w:space="0"/>
            </w:tcBorders>
            <w:vAlign w:val="center"/>
          </w:tcPr>
          <w:p>
            <w:pPr>
              <w:widowControl/>
              <w:jc w:val="left"/>
              <w:rPr>
                <w:rFonts w:ascii="宋体" w:cs="宋体"/>
                <w:kern w:val="0"/>
              </w:rPr>
            </w:pPr>
          </w:p>
        </w:tc>
        <w:tc>
          <w:tcPr>
            <w:tcW w:w="1701" w:type="dxa"/>
            <w:gridSpan w:val="3"/>
            <w:tcBorders>
              <w:top w:val="nil"/>
              <w:left w:val="nil"/>
              <w:bottom w:val="single" w:color="auto" w:sz="4" w:space="0"/>
              <w:right w:val="single" w:color="auto" w:sz="4" w:space="0"/>
            </w:tcBorders>
            <w:vAlign w:val="center"/>
          </w:tcPr>
          <w:p>
            <w:pPr>
              <w:widowControl/>
              <w:jc w:val="left"/>
              <w:rPr>
                <w:rFonts w:ascii="宋体" w:cs="宋体"/>
                <w:b/>
                <w:kern w:val="0"/>
                <w:sz w:val="24"/>
              </w:rPr>
            </w:pPr>
          </w:p>
        </w:tc>
        <w:tc>
          <w:tcPr>
            <w:tcW w:w="1559" w:type="dxa"/>
            <w:gridSpan w:val="3"/>
            <w:tcBorders>
              <w:top w:val="nil"/>
              <w:left w:val="nil"/>
              <w:bottom w:val="single" w:color="auto" w:sz="4" w:space="0"/>
              <w:right w:val="single" w:color="auto" w:sz="4" w:space="0"/>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gridAfter w:val="1"/>
          <w:wAfter w:w="220" w:type="dxa"/>
          <w:trHeight w:val="371" w:hRule="atLeast"/>
        </w:trPr>
        <w:tc>
          <w:tcPr>
            <w:tcW w:w="9781" w:type="dxa"/>
            <w:gridSpan w:val="9"/>
            <w:tcBorders>
              <w:top w:val="single" w:color="auto" w:sz="4" w:space="0"/>
              <w:left w:val="nil"/>
              <w:bottom w:val="nil"/>
              <w:right w:val="nil"/>
            </w:tcBorders>
            <w:vAlign w:val="center"/>
          </w:tcPr>
          <w:p>
            <w:pPr>
              <w:widowControl/>
              <w:jc w:val="right"/>
              <w:rPr>
                <w:rFonts w:ascii="宋体" w:cs="宋体"/>
                <w:kern w:val="0"/>
                <w:sz w:val="24"/>
              </w:rPr>
            </w:pPr>
            <w:r>
              <w:rPr>
                <w:rFonts w:hint="eastAsia" w:ascii="宋体" w:cs="宋体"/>
                <w:kern w:val="0"/>
                <w:sz w:val="24"/>
              </w:rPr>
              <w:t>（保留两位小数点）</w:t>
            </w:r>
          </w:p>
        </w:tc>
      </w:tr>
    </w:tbl>
    <w:p/>
    <w:sectPr>
      <w:footerReference r:id="rId3" w:type="default"/>
      <w:pgSz w:w="11906" w:h="16838"/>
      <w:pgMar w:top="2155"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5238"/>
      <w:docPartObj>
        <w:docPartGallery w:val="autotext"/>
      </w:docPartObj>
    </w:sdtPr>
    <w:sdtContent>
      <w:p>
        <w:pPr>
          <w:pStyle w:val="2"/>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2786D"/>
    <w:multiLevelType w:val="singleLevel"/>
    <w:tmpl w:val="86C2786D"/>
    <w:lvl w:ilvl="0" w:tentative="0">
      <w:start w:val="1"/>
      <w:numFmt w:val="chineseCounting"/>
      <w:suff w:val="nothing"/>
      <w:lvlText w:val="（%1）"/>
      <w:lvlJc w:val="left"/>
      <w:rPr>
        <w:rFonts w:hint="eastAsia"/>
      </w:rPr>
    </w:lvl>
  </w:abstractNum>
  <w:abstractNum w:abstractNumId="1">
    <w:nsid w:val="4A3E7D1F"/>
    <w:multiLevelType w:val="multilevel"/>
    <w:tmpl w:val="4A3E7D1F"/>
    <w:lvl w:ilvl="0" w:tentative="0">
      <w:start w:val="0"/>
      <w:numFmt w:val="bullet"/>
      <w:lvlText w:val="□"/>
      <w:lvlJc w:val="left"/>
      <w:pPr>
        <w:ind w:left="570" w:hanging="360"/>
      </w:pPr>
      <w:rPr>
        <w:rFonts w:hint="eastAsia" w:ascii="宋体" w:hAnsi="宋体" w:eastAsia="宋体" w:cs="Arial"/>
      </w:rPr>
    </w:lvl>
    <w:lvl w:ilvl="1" w:tentative="0">
      <w:start w:val="1"/>
      <w:numFmt w:val="bullet"/>
      <w:lvlText w:val=""/>
      <w:lvlJc w:val="left"/>
      <w:pPr>
        <w:ind w:left="1080" w:hanging="420"/>
      </w:pPr>
      <w:rPr>
        <w:rFonts w:hint="default" w:ascii="Wingdings" w:hAnsi="Wingdings"/>
      </w:rPr>
    </w:lvl>
    <w:lvl w:ilvl="2" w:tentative="0">
      <w:start w:val="1"/>
      <w:numFmt w:val="bullet"/>
      <w:lvlText w:val=""/>
      <w:lvlJc w:val="left"/>
      <w:pPr>
        <w:ind w:left="1500" w:hanging="420"/>
      </w:pPr>
      <w:rPr>
        <w:rFonts w:hint="default" w:ascii="Wingdings" w:hAnsi="Wingdings"/>
      </w:rPr>
    </w:lvl>
    <w:lvl w:ilvl="3" w:tentative="0">
      <w:start w:val="1"/>
      <w:numFmt w:val="bullet"/>
      <w:lvlText w:val=""/>
      <w:lvlJc w:val="left"/>
      <w:pPr>
        <w:ind w:left="1920" w:hanging="420"/>
      </w:pPr>
      <w:rPr>
        <w:rFonts w:hint="default" w:ascii="Wingdings" w:hAnsi="Wingdings"/>
      </w:rPr>
    </w:lvl>
    <w:lvl w:ilvl="4" w:tentative="0">
      <w:start w:val="1"/>
      <w:numFmt w:val="bullet"/>
      <w:lvlText w:val=""/>
      <w:lvlJc w:val="left"/>
      <w:pPr>
        <w:ind w:left="2340" w:hanging="420"/>
      </w:pPr>
      <w:rPr>
        <w:rFonts w:hint="default" w:ascii="Wingdings" w:hAnsi="Wingdings"/>
      </w:rPr>
    </w:lvl>
    <w:lvl w:ilvl="5" w:tentative="0">
      <w:start w:val="1"/>
      <w:numFmt w:val="bullet"/>
      <w:lvlText w:val=""/>
      <w:lvlJc w:val="left"/>
      <w:pPr>
        <w:ind w:left="2760" w:hanging="420"/>
      </w:pPr>
      <w:rPr>
        <w:rFonts w:hint="default" w:ascii="Wingdings" w:hAnsi="Wingdings"/>
      </w:rPr>
    </w:lvl>
    <w:lvl w:ilvl="6" w:tentative="0">
      <w:start w:val="1"/>
      <w:numFmt w:val="bullet"/>
      <w:lvlText w:val=""/>
      <w:lvlJc w:val="left"/>
      <w:pPr>
        <w:ind w:left="3180" w:hanging="420"/>
      </w:pPr>
      <w:rPr>
        <w:rFonts w:hint="default" w:ascii="Wingdings" w:hAnsi="Wingdings"/>
      </w:rPr>
    </w:lvl>
    <w:lvl w:ilvl="7" w:tentative="0">
      <w:start w:val="1"/>
      <w:numFmt w:val="bullet"/>
      <w:lvlText w:val=""/>
      <w:lvlJc w:val="left"/>
      <w:pPr>
        <w:ind w:left="3600" w:hanging="420"/>
      </w:pPr>
      <w:rPr>
        <w:rFonts w:hint="default" w:ascii="Wingdings" w:hAnsi="Wingdings"/>
      </w:rPr>
    </w:lvl>
    <w:lvl w:ilvl="8" w:tentative="0">
      <w:start w:val="1"/>
      <w:numFmt w:val="bullet"/>
      <w:lvlText w:val=""/>
      <w:lvlJc w:val="left"/>
      <w:pPr>
        <w:ind w:left="40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218BA"/>
    <w:rsid w:val="01B41A5C"/>
    <w:rsid w:val="073C0FAC"/>
    <w:rsid w:val="09943C85"/>
    <w:rsid w:val="12C845D4"/>
    <w:rsid w:val="14F218BA"/>
    <w:rsid w:val="1E6A59AE"/>
    <w:rsid w:val="24797204"/>
    <w:rsid w:val="2A7000EE"/>
    <w:rsid w:val="2F1F7F2F"/>
    <w:rsid w:val="345D41BE"/>
    <w:rsid w:val="3531676D"/>
    <w:rsid w:val="3DD354BE"/>
    <w:rsid w:val="4329320E"/>
    <w:rsid w:val="45A23CDB"/>
    <w:rsid w:val="4E7156AD"/>
    <w:rsid w:val="5DD80FED"/>
    <w:rsid w:val="5F9532F7"/>
    <w:rsid w:val="60E26478"/>
    <w:rsid w:val="618A49B5"/>
    <w:rsid w:val="62A567DF"/>
    <w:rsid w:val="640E5C66"/>
    <w:rsid w:val="66977B6E"/>
    <w:rsid w:val="6D225DB8"/>
    <w:rsid w:val="73625B32"/>
    <w:rsid w:val="738B1418"/>
    <w:rsid w:val="74EB3A2D"/>
    <w:rsid w:val="74ED0115"/>
    <w:rsid w:val="7A446072"/>
    <w:rsid w:val="7E245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styleId="5">
    <w:name w:val="Strong"/>
    <w:basedOn w:val="4"/>
    <w:qFormat/>
    <w:uiPriority w:val="0"/>
    <w:rPr>
      <w:b/>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2021-07-27T01:04:00Z</dcterms:created>
  <dc:creator>果酱儒</dc:creator>
  <cp:lastModifiedBy>果酱儒</cp:lastModifiedBy>
  <cp:lastPrinted>2021-09-28T06:56:00Z</cp:lastPrinted>
  <dcterms:modified xsi:type="dcterms:W3CDTF">2021-10-12T07:50:28Z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A1B6D4A9425B47B787996F9B7537A556</vt:lpwstr>
  </property>
</Properties>
</file>