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outlineLvl w:val="0"/>
        <w:rPr>
          <w:rFonts w:ascii="方正仿宋_GB2312" w:hAnsi="方正仿宋_GB2312" w:eastAsia="方正仿宋_GB2312" w:cs="方正仿宋_GB2312"/>
          <w:kern w:val="2"/>
          <w:sz w:val="32"/>
          <w:szCs w:val="32"/>
        </w:rPr>
      </w:pPr>
      <w:r>
        <w:rPr>
          <w:rFonts w:hint="eastAsia" w:ascii="方正仿宋_GB2312" w:hAnsi="方正仿宋_GB2312" w:eastAsia="方正仿宋_GB2312" w:cs="方正仿宋_GB2312"/>
          <w:kern w:val="2"/>
          <w:sz w:val="32"/>
          <w:szCs w:val="32"/>
        </w:rPr>
        <w:t>附件1</w:t>
      </w:r>
    </w:p>
    <w:p>
      <w:pPr>
        <w:adjustRightInd/>
        <w:spacing w:line="360" w:lineRule="auto"/>
        <w:jc w:val="center"/>
        <w:outlineLvl w:val="0"/>
        <w:rPr>
          <w:rFonts w:ascii="宋体" w:hAnsi="宋体" w:eastAsia="宋体" w:cs="宋体"/>
          <w:b/>
          <w:bCs/>
          <w:kern w:val="2"/>
          <w:sz w:val="44"/>
          <w:szCs w:val="44"/>
        </w:rPr>
      </w:pPr>
      <w:r>
        <w:rPr>
          <w:rFonts w:hint="eastAsia" w:ascii="宋体" w:hAnsi="宋体" w:eastAsia="宋体" w:cs="宋体"/>
          <w:b/>
          <w:bCs/>
          <w:kern w:val="2"/>
          <w:sz w:val="44"/>
          <w:szCs w:val="44"/>
        </w:rPr>
        <w:t>江门市工业互联网应用人才培训实施方案</w:t>
      </w:r>
    </w:p>
    <w:p>
      <w:pPr>
        <w:adjustRightInd/>
        <w:spacing w:line="360" w:lineRule="auto"/>
        <w:jc w:val="both"/>
        <w:outlineLvl w:val="0"/>
        <w:rPr>
          <w:rFonts w:ascii="仿宋_GB2312" w:eastAsia="仿宋_GB2312" w:cs="方正仿宋_GB2312"/>
          <w:b/>
          <w:bCs/>
          <w:kern w:val="2"/>
          <w:sz w:val="32"/>
          <w:szCs w:val="32"/>
        </w:rPr>
      </w:pP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为深入推进工业互联网应用人才培训项目，现制定如下培训实施方案：</w:t>
      </w:r>
    </w:p>
    <w:p>
      <w:pPr>
        <w:spacing w:line="360" w:lineRule="auto"/>
        <w:ind w:right="191" w:firstLine="800" w:firstLineChars="250"/>
        <w:jc w:val="both"/>
        <w:rPr>
          <w:rFonts w:eastAsia="黑体" w:cs="黑体"/>
          <w:kern w:val="2"/>
          <w:sz w:val="32"/>
          <w:szCs w:val="32"/>
        </w:rPr>
      </w:pPr>
      <w:r>
        <w:rPr>
          <w:rFonts w:hint="eastAsia" w:eastAsia="黑体" w:cs="黑体"/>
          <w:kern w:val="2"/>
          <w:sz w:val="32"/>
          <w:szCs w:val="32"/>
        </w:rPr>
        <w:t>一、课程安排及招生对象</w:t>
      </w: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（一）课程安排</w:t>
      </w:r>
    </w:p>
    <w:p>
      <w:pPr>
        <w:spacing w:line="360" w:lineRule="auto"/>
        <w:ind w:right="193"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该培训设置工程师技术培训班和企业数字化转型高管班2个专题，共10期，每期课程2天。具体时间安排如下：</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2621"/>
        <w:gridCol w:w="4063"/>
        <w:gridCol w:w="1245"/>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blHeader/>
        </w:trPr>
        <w:tc>
          <w:tcPr>
            <w:tcW w:w="1109" w:type="dxa"/>
            <w:vAlign w:val="center"/>
          </w:tcPr>
          <w:p>
            <w:pPr>
              <w:kinsoku/>
              <w:autoSpaceDE/>
              <w:autoSpaceDN/>
              <w:spacing w:line="360" w:lineRule="auto"/>
              <w:jc w:val="center"/>
              <w:textAlignment w:val="auto"/>
              <w:rPr>
                <w:rFonts w:eastAsia="宋体" w:cs="宋体"/>
                <w:b/>
                <w:kern w:val="2"/>
                <w:sz w:val="22"/>
                <w:szCs w:val="22"/>
              </w:rPr>
            </w:pPr>
            <w:r>
              <w:rPr>
                <w:rFonts w:hint="eastAsia" w:eastAsia="宋体" w:cs="宋体"/>
                <w:b/>
                <w:kern w:val="2"/>
                <w:sz w:val="22"/>
                <w:szCs w:val="22"/>
              </w:rPr>
              <w:t>期数</w:t>
            </w:r>
          </w:p>
        </w:tc>
        <w:tc>
          <w:tcPr>
            <w:tcW w:w="2621" w:type="dxa"/>
            <w:vAlign w:val="center"/>
          </w:tcPr>
          <w:p>
            <w:pPr>
              <w:kinsoku/>
              <w:autoSpaceDE/>
              <w:autoSpaceDN/>
              <w:spacing w:line="360" w:lineRule="auto"/>
              <w:jc w:val="center"/>
              <w:textAlignment w:val="auto"/>
              <w:rPr>
                <w:rFonts w:eastAsia="宋体" w:cs="宋体"/>
                <w:b/>
                <w:kern w:val="2"/>
                <w:sz w:val="22"/>
                <w:szCs w:val="22"/>
              </w:rPr>
            </w:pPr>
            <w:r>
              <w:rPr>
                <w:rFonts w:hint="eastAsia" w:eastAsia="宋体" w:cs="宋体"/>
                <w:b/>
                <w:kern w:val="2"/>
                <w:sz w:val="22"/>
                <w:szCs w:val="22"/>
              </w:rPr>
              <w:t>日期</w:t>
            </w:r>
          </w:p>
        </w:tc>
        <w:tc>
          <w:tcPr>
            <w:tcW w:w="4063" w:type="dxa"/>
            <w:vAlign w:val="center"/>
          </w:tcPr>
          <w:p>
            <w:pPr>
              <w:kinsoku/>
              <w:autoSpaceDE/>
              <w:autoSpaceDN/>
              <w:spacing w:line="360" w:lineRule="auto"/>
              <w:jc w:val="center"/>
              <w:textAlignment w:val="auto"/>
              <w:rPr>
                <w:rFonts w:eastAsia="宋体" w:cs="宋体"/>
                <w:b/>
                <w:kern w:val="2"/>
                <w:sz w:val="22"/>
                <w:szCs w:val="22"/>
              </w:rPr>
            </w:pPr>
            <w:r>
              <w:rPr>
                <w:rFonts w:hint="eastAsia" w:eastAsia="宋体" w:cs="宋体"/>
                <w:b/>
                <w:kern w:val="2"/>
                <w:sz w:val="22"/>
                <w:szCs w:val="22"/>
              </w:rPr>
              <w:t>课程名称</w:t>
            </w:r>
          </w:p>
        </w:tc>
        <w:tc>
          <w:tcPr>
            <w:tcW w:w="1245" w:type="dxa"/>
            <w:vAlign w:val="center"/>
          </w:tcPr>
          <w:p>
            <w:pPr>
              <w:kinsoku/>
              <w:autoSpaceDE/>
              <w:autoSpaceDN/>
              <w:spacing w:line="360" w:lineRule="auto"/>
              <w:jc w:val="center"/>
              <w:textAlignment w:val="auto"/>
              <w:rPr>
                <w:rFonts w:eastAsia="宋体" w:cs="宋体"/>
                <w:b/>
                <w:kern w:val="2"/>
                <w:sz w:val="22"/>
                <w:szCs w:val="22"/>
              </w:rPr>
            </w:pPr>
            <w:r>
              <w:rPr>
                <w:rFonts w:hint="eastAsia" w:eastAsia="宋体" w:cs="宋体"/>
                <w:b/>
                <w:kern w:val="2"/>
                <w:sz w:val="22"/>
                <w:szCs w:val="22"/>
              </w:rPr>
              <w:t>培训讲师</w:t>
            </w:r>
          </w:p>
        </w:tc>
        <w:tc>
          <w:tcPr>
            <w:tcW w:w="888" w:type="dxa"/>
            <w:vAlign w:val="center"/>
          </w:tcPr>
          <w:p>
            <w:pPr>
              <w:kinsoku/>
              <w:autoSpaceDE/>
              <w:autoSpaceDN/>
              <w:jc w:val="center"/>
              <w:textAlignment w:val="auto"/>
              <w:rPr>
                <w:rFonts w:eastAsia="宋体" w:cs="宋体"/>
                <w:b/>
                <w:kern w:val="2"/>
                <w:sz w:val="22"/>
                <w:szCs w:val="22"/>
              </w:rPr>
            </w:pPr>
            <w:r>
              <w:rPr>
                <w:rFonts w:hint="eastAsia" w:eastAsia="宋体" w:cs="宋体"/>
                <w:b/>
                <w:kern w:val="2"/>
                <w:sz w:val="22"/>
                <w:szCs w:val="22"/>
              </w:rPr>
              <w:t>培训</w:t>
            </w:r>
          </w:p>
          <w:p>
            <w:pPr>
              <w:kinsoku/>
              <w:autoSpaceDE/>
              <w:autoSpaceDN/>
              <w:jc w:val="center"/>
              <w:textAlignment w:val="auto"/>
              <w:rPr>
                <w:rFonts w:eastAsia="宋体" w:cs="宋体"/>
                <w:b/>
                <w:kern w:val="2"/>
                <w:sz w:val="22"/>
                <w:szCs w:val="22"/>
              </w:rPr>
            </w:pPr>
            <w:r>
              <w:rPr>
                <w:rFonts w:hint="eastAsia" w:eastAsia="宋体" w:cs="宋体"/>
                <w:b/>
                <w:kern w:val="2"/>
                <w:sz w:val="22"/>
                <w:szCs w:val="22"/>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9"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第一期</w:t>
            </w:r>
          </w:p>
        </w:tc>
        <w:tc>
          <w:tcPr>
            <w:tcW w:w="2621" w:type="dxa"/>
            <w:vAlign w:val="center"/>
          </w:tcPr>
          <w:p>
            <w:pPr>
              <w:kinsoku/>
              <w:autoSpaceDE/>
              <w:autoSpaceDN/>
              <w:spacing w:line="360" w:lineRule="auto"/>
              <w:jc w:val="both"/>
              <w:textAlignment w:val="auto"/>
              <w:rPr>
                <w:rFonts w:eastAsia="宋体" w:cs="宋体"/>
                <w:kern w:val="2"/>
                <w:sz w:val="24"/>
                <w:szCs w:val="24"/>
              </w:rPr>
            </w:pPr>
            <w:r>
              <w:rPr>
                <w:rFonts w:hint="eastAsia" w:eastAsia="宋体" w:cs="宋体"/>
                <w:kern w:val="2"/>
                <w:sz w:val="24"/>
                <w:szCs w:val="24"/>
              </w:rPr>
              <w:t>2022年3月</w:t>
            </w:r>
            <w:r>
              <w:rPr>
                <w:rFonts w:hint="eastAsia" w:eastAsia="宋体" w:cs="宋体"/>
                <w:kern w:val="2"/>
                <w:sz w:val="24"/>
                <w:szCs w:val="24"/>
                <w:lang w:val="en-US" w:eastAsia="zh-CN"/>
              </w:rPr>
              <w:t>25</w:t>
            </w:r>
            <w:r>
              <w:rPr>
                <w:rFonts w:hint="eastAsia" w:eastAsia="宋体" w:cs="宋体"/>
                <w:kern w:val="2"/>
                <w:sz w:val="24"/>
                <w:szCs w:val="24"/>
              </w:rPr>
              <w:t>、</w:t>
            </w:r>
            <w:r>
              <w:rPr>
                <w:rFonts w:hint="eastAsia" w:eastAsia="宋体" w:cs="宋体"/>
                <w:kern w:val="2"/>
                <w:sz w:val="24"/>
                <w:szCs w:val="24"/>
                <w:lang w:val="en-US" w:eastAsia="zh-CN"/>
              </w:rPr>
              <w:t>26</w:t>
            </w:r>
            <w:r>
              <w:rPr>
                <w:rFonts w:hint="eastAsia" w:eastAsia="宋体" w:cs="宋体"/>
                <w:kern w:val="2"/>
                <w:sz w:val="24"/>
                <w:szCs w:val="24"/>
              </w:rPr>
              <w:t>日</w:t>
            </w:r>
          </w:p>
        </w:tc>
        <w:tc>
          <w:tcPr>
            <w:tcW w:w="4063" w:type="dxa"/>
            <w:vAlign w:val="center"/>
          </w:tcPr>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工程师技术培训班</w:t>
            </w:r>
          </w:p>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（物联网）</w:t>
            </w:r>
          </w:p>
        </w:tc>
        <w:tc>
          <w:tcPr>
            <w:tcW w:w="1245" w:type="dxa"/>
            <w:vAlign w:val="center"/>
          </w:tcPr>
          <w:p>
            <w:pPr>
              <w:kinsoku/>
              <w:autoSpaceDE/>
              <w:autoSpaceDN/>
              <w:spacing w:line="288" w:lineRule="auto"/>
              <w:jc w:val="both"/>
              <w:textAlignment w:val="auto"/>
              <w:rPr>
                <w:rFonts w:eastAsia="宋体" w:cs="宋体"/>
                <w:kern w:val="2"/>
                <w:sz w:val="24"/>
                <w:szCs w:val="24"/>
              </w:rPr>
            </w:pPr>
            <w:r>
              <w:rPr>
                <w:rFonts w:hint="eastAsia" w:eastAsia="宋体" w:cs="宋体"/>
                <w:kern w:val="2"/>
                <w:sz w:val="24"/>
                <w:szCs w:val="24"/>
              </w:rPr>
              <w:t>郑士基、杨诚</w:t>
            </w:r>
          </w:p>
        </w:tc>
        <w:tc>
          <w:tcPr>
            <w:tcW w:w="888"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9"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第二期</w:t>
            </w:r>
          </w:p>
        </w:tc>
        <w:tc>
          <w:tcPr>
            <w:tcW w:w="2621" w:type="dxa"/>
            <w:vAlign w:val="center"/>
          </w:tcPr>
          <w:p>
            <w:pPr>
              <w:kinsoku/>
              <w:autoSpaceDE/>
              <w:autoSpaceDN/>
              <w:spacing w:line="360" w:lineRule="auto"/>
              <w:jc w:val="both"/>
              <w:textAlignment w:val="auto"/>
              <w:rPr>
                <w:rFonts w:eastAsia="宋体" w:cs="宋体"/>
                <w:kern w:val="2"/>
                <w:sz w:val="24"/>
                <w:szCs w:val="24"/>
              </w:rPr>
            </w:pPr>
            <w:r>
              <w:rPr>
                <w:rFonts w:hint="eastAsia" w:eastAsia="宋体" w:cs="宋体"/>
                <w:kern w:val="2"/>
                <w:sz w:val="24"/>
                <w:szCs w:val="24"/>
              </w:rPr>
              <w:t>2022年3月</w:t>
            </w:r>
            <w:r>
              <w:rPr>
                <w:rFonts w:hint="eastAsia" w:eastAsia="宋体" w:cs="宋体"/>
                <w:kern w:val="2"/>
                <w:sz w:val="24"/>
                <w:szCs w:val="24"/>
                <w:lang w:val="en-US" w:eastAsia="zh-CN"/>
              </w:rPr>
              <w:t>29</w:t>
            </w:r>
            <w:r>
              <w:rPr>
                <w:rFonts w:hint="eastAsia" w:eastAsia="宋体" w:cs="宋体"/>
                <w:kern w:val="2"/>
                <w:sz w:val="24"/>
                <w:szCs w:val="24"/>
              </w:rPr>
              <w:t>、</w:t>
            </w:r>
            <w:r>
              <w:rPr>
                <w:rFonts w:hint="eastAsia" w:eastAsia="宋体" w:cs="宋体"/>
                <w:kern w:val="2"/>
                <w:sz w:val="24"/>
                <w:szCs w:val="24"/>
                <w:lang w:val="en-US" w:eastAsia="zh-CN"/>
              </w:rPr>
              <w:t>30</w:t>
            </w:r>
            <w:r>
              <w:rPr>
                <w:rFonts w:hint="eastAsia" w:eastAsia="宋体" w:cs="宋体"/>
                <w:kern w:val="2"/>
                <w:sz w:val="24"/>
                <w:szCs w:val="24"/>
              </w:rPr>
              <w:t>日</w:t>
            </w:r>
          </w:p>
        </w:tc>
        <w:tc>
          <w:tcPr>
            <w:tcW w:w="4063" w:type="dxa"/>
            <w:vAlign w:val="center"/>
          </w:tcPr>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工程师技术培训班</w:t>
            </w:r>
          </w:p>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（数字通信）</w:t>
            </w:r>
          </w:p>
        </w:tc>
        <w:tc>
          <w:tcPr>
            <w:tcW w:w="1245" w:type="dxa"/>
            <w:vAlign w:val="center"/>
          </w:tcPr>
          <w:p>
            <w:pPr>
              <w:kinsoku/>
              <w:autoSpaceDE/>
              <w:autoSpaceDN/>
              <w:spacing w:line="288" w:lineRule="auto"/>
              <w:jc w:val="both"/>
              <w:textAlignment w:val="auto"/>
              <w:rPr>
                <w:rFonts w:eastAsia="宋体" w:cs="宋体"/>
                <w:kern w:val="2"/>
                <w:sz w:val="24"/>
                <w:szCs w:val="24"/>
              </w:rPr>
            </w:pPr>
            <w:r>
              <w:rPr>
                <w:rFonts w:hint="eastAsia" w:eastAsia="宋体" w:cs="宋体"/>
                <w:kern w:val="2"/>
                <w:sz w:val="24"/>
                <w:szCs w:val="24"/>
              </w:rPr>
              <w:t>郑士基、杨诚</w:t>
            </w:r>
          </w:p>
        </w:tc>
        <w:tc>
          <w:tcPr>
            <w:tcW w:w="888"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9"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第三期</w:t>
            </w:r>
          </w:p>
        </w:tc>
        <w:tc>
          <w:tcPr>
            <w:tcW w:w="2621" w:type="dxa"/>
            <w:vAlign w:val="center"/>
          </w:tcPr>
          <w:p>
            <w:pPr>
              <w:kinsoku/>
              <w:autoSpaceDE/>
              <w:autoSpaceDN/>
              <w:spacing w:line="360" w:lineRule="auto"/>
              <w:jc w:val="both"/>
              <w:textAlignment w:val="auto"/>
              <w:rPr>
                <w:rFonts w:eastAsia="宋体" w:cs="宋体"/>
                <w:kern w:val="2"/>
                <w:sz w:val="24"/>
                <w:szCs w:val="24"/>
              </w:rPr>
            </w:pPr>
            <w:r>
              <w:rPr>
                <w:rFonts w:hint="eastAsia" w:eastAsia="宋体" w:cs="宋体"/>
                <w:kern w:val="2"/>
                <w:sz w:val="24"/>
                <w:szCs w:val="24"/>
              </w:rPr>
              <w:t>2022年</w:t>
            </w:r>
            <w:r>
              <w:rPr>
                <w:rFonts w:hint="eastAsia" w:eastAsia="宋体" w:cs="宋体"/>
                <w:kern w:val="2"/>
                <w:sz w:val="24"/>
                <w:szCs w:val="24"/>
                <w:lang w:val="en-US" w:eastAsia="zh-CN"/>
              </w:rPr>
              <w:t>4</w:t>
            </w:r>
            <w:r>
              <w:rPr>
                <w:rFonts w:hint="eastAsia" w:eastAsia="宋体" w:cs="宋体"/>
                <w:kern w:val="2"/>
                <w:sz w:val="24"/>
                <w:szCs w:val="24"/>
              </w:rPr>
              <w:t>月</w:t>
            </w:r>
            <w:r>
              <w:rPr>
                <w:rFonts w:hint="eastAsia" w:eastAsia="宋体" w:cs="宋体"/>
                <w:kern w:val="2"/>
                <w:sz w:val="24"/>
                <w:szCs w:val="24"/>
                <w:lang w:val="en-US" w:eastAsia="zh-CN"/>
              </w:rPr>
              <w:t>1</w:t>
            </w:r>
            <w:r>
              <w:rPr>
                <w:rFonts w:hint="eastAsia" w:eastAsia="宋体" w:cs="宋体"/>
                <w:kern w:val="2"/>
                <w:sz w:val="24"/>
                <w:szCs w:val="24"/>
              </w:rPr>
              <w:t>、</w:t>
            </w:r>
            <w:r>
              <w:rPr>
                <w:rFonts w:hint="eastAsia" w:eastAsia="宋体" w:cs="宋体"/>
                <w:kern w:val="2"/>
                <w:sz w:val="24"/>
                <w:szCs w:val="24"/>
                <w:lang w:val="en-US" w:eastAsia="zh-CN"/>
              </w:rPr>
              <w:t>2</w:t>
            </w:r>
            <w:r>
              <w:rPr>
                <w:rFonts w:hint="eastAsia" w:eastAsia="宋体" w:cs="宋体"/>
                <w:kern w:val="2"/>
                <w:sz w:val="24"/>
                <w:szCs w:val="24"/>
              </w:rPr>
              <w:t>日</w:t>
            </w:r>
          </w:p>
        </w:tc>
        <w:tc>
          <w:tcPr>
            <w:tcW w:w="4063" w:type="dxa"/>
            <w:vAlign w:val="center"/>
          </w:tcPr>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企业数字化转型高管班</w:t>
            </w:r>
          </w:p>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w:t>
            </w:r>
            <w:r>
              <w:rPr>
                <w:rFonts w:hint="eastAsia" w:ascii="宋体" w:hAnsi="宋体" w:eastAsia="宋体" w:cs="宋体"/>
                <w:sz w:val="24"/>
                <w:szCs w:val="24"/>
              </w:rPr>
              <w:t>企业数字化转型与技术分享</w:t>
            </w:r>
            <w:r>
              <w:rPr>
                <w:rFonts w:hint="eastAsia" w:ascii="宋体" w:hAnsi="宋体" w:eastAsia="宋体" w:cs="宋体"/>
                <w:kern w:val="2"/>
                <w:sz w:val="24"/>
                <w:szCs w:val="24"/>
              </w:rPr>
              <w:t>）</w:t>
            </w:r>
          </w:p>
        </w:tc>
        <w:tc>
          <w:tcPr>
            <w:tcW w:w="1245" w:type="dxa"/>
            <w:vAlign w:val="center"/>
          </w:tcPr>
          <w:p>
            <w:pPr>
              <w:kinsoku/>
              <w:autoSpaceDE/>
              <w:autoSpaceDN/>
              <w:spacing w:line="288" w:lineRule="auto"/>
              <w:jc w:val="both"/>
              <w:textAlignment w:val="auto"/>
              <w:rPr>
                <w:rFonts w:eastAsia="宋体" w:cs="宋体"/>
                <w:kern w:val="2"/>
                <w:sz w:val="24"/>
                <w:szCs w:val="24"/>
              </w:rPr>
            </w:pPr>
            <w:r>
              <w:rPr>
                <w:rFonts w:hint="eastAsia" w:eastAsia="宋体" w:cs="宋体"/>
                <w:kern w:val="2"/>
                <w:sz w:val="24"/>
                <w:szCs w:val="24"/>
                <w:lang w:bidi="ar"/>
              </w:rPr>
              <w:t>邹少军、</w:t>
            </w:r>
            <w:r>
              <w:rPr>
                <w:rFonts w:hint="eastAsia" w:eastAsia="宋体" w:cs="宋体"/>
                <w:kern w:val="2"/>
                <w:sz w:val="24"/>
                <w:szCs w:val="24"/>
              </w:rPr>
              <w:t>俞翔</w:t>
            </w:r>
          </w:p>
        </w:tc>
        <w:tc>
          <w:tcPr>
            <w:tcW w:w="888"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9"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第四期</w:t>
            </w:r>
          </w:p>
        </w:tc>
        <w:tc>
          <w:tcPr>
            <w:tcW w:w="2621" w:type="dxa"/>
            <w:vAlign w:val="center"/>
          </w:tcPr>
          <w:p>
            <w:pPr>
              <w:kinsoku/>
              <w:autoSpaceDE/>
              <w:autoSpaceDN/>
              <w:spacing w:line="360" w:lineRule="auto"/>
              <w:jc w:val="both"/>
              <w:textAlignment w:val="auto"/>
              <w:rPr>
                <w:rFonts w:eastAsia="宋体" w:cs="宋体"/>
                <w:kern w:val="2"/>
                <w:sz w:val="24"/>
                <w:szCs w:val="24"/>
              </w:rPr>
            </w:pPr>
            <w:r>
              <w:rPr>
                <w:rFonts w:hint="eastAsia" w:eastAsia="宋体" w:cs="宋体"/>
                <w:kern w:val="2"/>
                <w:sz w:val="24"/>
                <w:szCs w:val="24"/>
              </w:rPr>
              <w:t>2022年4月</w:t>
            </w:r>
            <w:r>
              <w:rPr>
                <w:rFonts w:hint="eastAsia" w:eastAsia="宋体" w:cs="宋体"/>
                <w:kern w:val="2"/>
                <w:sz w:val="24"/>
                <w:szCs w:val="24"/>
                <w:lang w:val="en-US" w:eastAsia="zh-CN"/>
              </w:rPr>
              <w:t>8</w:t>
            </w:r>
            <w:r>
              <w:rPr>
                <w:rFonts w:hint="eastAsia" w:eastAsia="宋体" w:cs="宋体"/>
                <w:kern w:val="2"/>
                <w:sz w:val="24"/>
                <w:szCs w:val="24"/>
              </w:rPr>
              <w:t>、</w:t>
            </w:r>
            <w:r>
              <w:rPr>
                <w:rFonts w:hint="eastAsia" w:eastAsia="宋体" w:cs="宋体"/>
                <w:kern w:val="2"/>
                <w:sz w:val="24"/>
                <w:szCs w:val="24"/>
                <w:lang w:val="en-US" w:eastAsia="zh-CN"/>
              </w:rPr>
              <w:t>9</w:t>
            </w:r>
            <w:r>
              <w:rPr>
                <w:rFonts w:hint="eastAsia" w:eastAsia="宋体" w:cs="宋体"/>
                <w:kern w:val="2"/>
                <w:sz w:val="24"/>
                <w:szCs w:val="24"/>
              </w:rPr>
              <w:t>日</w:t>
            </w:r>
          </w:p>
        </w:tc>
        <w:tc>
          <w:tcPr>
            <w:tcW w:w="4063" w:type="dxa"/>
            <w:vAlign w:val="center"/>
          </w:tcPr>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工程师技术培训班</w:t>
            </w:r>
          </w:p>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（网络安全）</w:t>
            </w:r>
          </w:p>
        </w:tc>
        <w:tc>
          <w:tcPr>
            <w:tcW w:w="1245" w:type="dxa"/>
            <w:vAlign w:val="center"/>
          </w:tcPr>
          <w:p>
            <w:pPr>
              <w:kinsoku/>
              <w:autoSpaceDE/>
              <w:autoSpaceDN/>
              <w:spacing w:line="288" w:lineRule="auto"/>
              <w:jc w:val="both"/>
              <w:textAlignment w:val="auto"/>
              <w:rPr>
                <w:rFonts w:eastAsia="宋体" w:cs="宋体"/>
                <w:kern w:val="2"/>
                <w:sz w:val="24"/>
                <w:szCs w:val="24"/>
              </w:rPr>
            </w:pPr>
            <w:r>
              <w:rPr>
                <w:rFonts w:hint="eastAsia" w:eastAsia="宋体" w:cs="宋体"/>
                <w:kern w:val="2"/>
                <w:sz w:val="24"/>
                <w:szCs w:val="24"/>
              </w:rPr>
              <w:t>文瑞映、杨诚</w:t>
            </w:r>
          </w:p>
        </w:tc>
        <w:tc>
          <w:tcPr>
            <w:tcW w:w="888"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9"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第五期</w:t>
            </w:r>
          </w:p>
        </w:tc>
        <w:tc>
          <w:tcPr>
            <w:tcW w:w="2621" w:type="dxa"/>
            <w:vAlign w:val="center"/>
          </w:tcPr>
          <w:p>
            <w:pPr>
              <w:kinsoku/>
              <w:autoSpaceDE/>
              <w:autoSpaceDN/>
              <w:spacing w:line="360" w:lineRule="auto"/>
              <w:jc w:val="both"/>
              <w:textAlignment w:val="auto"/>
              <w:rPr>
                <w:rFonts w:eastAsia="宋体" w:cs="宋体"/>
                <w:kern w:val="2"/>
                <w:sz w:val="24"/>
                <w:szCs w:val="24"/>
              </w:rPr>
            </w:pPr>
            <w:r>
              <w:rPr>
                <w:rFonts w:hint="eastAsia" w:eastAsia="宋体" w:cs="宋体"/>
                <w:kern w:val="2"/>
                <w:sz w:val="24"/>
                <w:szCs w:val="24"/>
              </w:rPr>
              <w:t>2022年4月</w:t>
            </w:r>
            <w:r>
              <w:rPr>
                <w:rFonts w:hint="eastAsia" w:eastAsia="宋体" w:cs="宋体"/>
                <w:kern w:val="2"/>
                <w:sz w:val="24"/>
                <w:szCs w:val="24"/>
                <w:lang w:val="en-US" w:eastAsia="zh-CN"/>
              </w:rPr>
              <w:t>12</w:t>
            </w:r>
            <w:r>
              <w:rPr>
                <w:rFonts w:hint="eastAsia" w:eastAsia="宋体" w:cs="宋体"/>
                <w:kern w:val="2"/>
                <w:sz w:val="24"/>
                <w:szCs w:val="24"/>
              </w:rPr>
              <w:t>、</w:t>
            </w:r>
            <w:r>
              <w:rPr>
                <w:rFonts w:hint="eastAsia" w:eastAsia="宋体" w:cs="宋体"/>
                <w:kern w:val="2"/>
                <w:sz w:val="24"/>
                <w:szCs w:val="24"/>
                <w:lang w:val="en-US" w:eastAsia="zh-CN"/>
              </w:rPr>
              <w:t>13</w:t>
            </w:r>
            <w:r>
              <w:rPr>
                <w:rFonts w:hint="eastAsia" w:eastAsia="宋体" w:cs="宋体"/>
                <w:kern w:val="2"/>
                <w:sz w:val="24"/>
                <w:szCs w:val="24"/>
              </w:rPr>
              <w:t>日</w:t>
            </w:r>
          </w:p>
        </w:tc>
        <w:tc>
          <w:tcPr>
            <w:tcW w:w="4063" w:type="dxa"/>
            <w:vAlign w:val="center"/>
          </w:tcPr>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企业数字化转型高管班</w:t>
            </w:r>
          </w:p>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w:t>
            </w:r>
            <w:r>
              <w:rPr>
                <w:rFonts w:hint="eastAsia" w:ascii="宋体" w:hAnsi="宋体" w:eastAsia="宋体" w:cs="宋体"/>
                <w:sz w:val="24"/>
                <w:szCs w:val="24"/>
              </w:rPr>
              <w:t>企业数字化转型与技术分享</w:t>
            </w:r>
            <w:r>
              <w:rPr>
                <w:rFonts w:hint="eastAsia" w:ascii="宋体" w:hAnsi="宋体" w:eastAsia="宋体" w:cs="宋体"/>
                <w:kern w:val="2"/>
                <w:sz w:val="24"/>
                <w:szCs w:val="24"/>
              </w:rPr>
              <w:t>）</w:t>
            </w:r>
          </w:p>
        </w:tc>
        <w:tc>
          <w:tcPr>
            <w:tcW w:w="1245" w:type="dxa"/>
            <w:vAlign w:val="center"/>
          </w:tcPr>
          <w:p>
            <w:pPr>
              <w:kinsoku/>
              <w:autoSpaceDE/>
              <w:autoSpaceDN/>
              <w:spacing w:line="288" w:lineRule="auto"/>
              <w:jc w:val="both"/>
              <w:textAlignment w:val="auto"/>
              <w:rPr>
                <w:rFonts w:eastAsia="宋体" w:cs="宋体"/>
                <w:kern w:val="2"/>
                <w:sz w:val="24"/>
                <w:szCs w:val="24"/>
              </w:rPr>
            </w:pPr>
            <w:r>
              <w:rPr>
                <w:rFonts w:hint="eastAsia" w:eastAsia="宋体" w:cs="宋体"/>
                <w:kern w:val="2"/>
                <w:sz w:val="24"/>
                <w:szCs w:val="24"/>
              </w:rPr>
              <w:t>翟杉杉、邹少军</w:t>
            </w:r>
          </w:p>
        </w:tc>
        <w:tc>
          <w:tcPr>
            <w:tcW w:w="888"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9"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第六期</w:t>
            </w:r>
          </w:p>
        </w:tc>
        <w:tc>
          <w:tcPr>
            <w:tcW w:w="2621" w:type="dxa"/>
            <w:vAlign w:val="center"/>
          </w:tcPr>
          <w:p>
            <w:pPr>
              <w:kinsoku/>
              <w:autoSpaceDE/>
              <w:autoSpaceDN/>
              <w:spacing w:line="360" w:lineRule="auto"/>
              <w:jc w:val="both"/>
              <w:textAlignment w:val="auto"/>
              <w:rPr>
                <w:rFonts w:eastAsia="宋体" w:cs="宋体"/>
                <w:kern w:val="2"/>
                <w:sz w:val="24"/>
                <w:szCs w:val="24"/>
              </w:rPr>
            </w:pPr>
            <w:r>
              <w:rPr>
                <w:rFonts w:hint="eastAsia" w:eastAsia="宋体" w:cs="宋体"/>
                <w:kern w:val="2"/>
                <w:sz w:val="24"/>
                <w:szCs w:val="24"/>
              </w:rPr>
              <w:t>2022年4月</w:t>
            </w:r>
            <w:r>
              <w:rPr>
                <w:rFonts w:hint="eastAsia" w:eastAsia="宋体" w:cs="宋体"/>
                <w:kern w:val="2"/>
                <w:sz w:val="24"/>
                <w:szCs w:val="24"/>
                <w:lang w:val="en-US" w:eastAsia="zh-CN"/>
              </w:rPr>
              <w:t>15</w:t>
            </w:r>
            <w:r>
              <w:rPr>
                <w:rFonts w:hint="eastAsia" w:eastAsia="宋体" w:cs="宋体"/>
                <w:kern w:val="2"/>
                <w:sz w:val="24"/>
                <w:szCs w:val="24"/>
              </w:rPr>
              <w:t>、</w:t>
            </w:r>
            <w:r>
              <w:rPr>
                <w:rFonts w:hint="eastAsia" w:eastAsia="宋体" w:cs="宋体"/>
                <w:kern w:val="2"/>
                <w:sz w:val="24"/>
                <w:szCs w:val="24"/>
                <w:lang w:val="en-US" w:eastAsia="zh-CN"/>
              </w:rPr>
              <w:t>16</w:t>
            </w:r>
            <w:r>
              <w:rPr>
                <w:rFonts w:hint="eastAsia" w:eastAsia="宋体" w:cs="宋体"/>
                <w:kern w:val="2"/>
                <w:sz w:val="24"/>
                <w:szCs w:val="24"/>
              </w:rPr>
              <w:t>日</w:t>
            </w:r>
          </w:p>
        </w:tc>
        <w:tc>
          <w:tcPr>
            <w:tcW w:w="4063" w:type="dxa"/>
            <w:vAlign w:val="center"/>
          </w:tcPr>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工程师技术培训班</w:t>
            </w:r>
          </w:p>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（物联网）</w:t>
            </w:r>
          </w:p>
        </w:tc>
        <w:tc>
          <w:tcPr>
            <w:tcW w:w="1245" w:type="dxa"/>
            <w:vAlign w:val="center"/>
          </w:tcPr>
          <w:p>
            <w:pPr>
              <w:kinsoku/>
              <w:autoSpaceDE/>
              <w:autoSpaceDN/>
              <w:spacing w:line="288" w:lineRule="auto"/>
              <w:jc w:val="both"/>
              <w:textAlignment w:val="auto"/>
              <w:rPr>
                <w:rFonts w:eastAsia="宋体" w:cs="宋体"/>
                <w:kern w:val="2"/>
                <w:sz w:val="24"/>
                <w:szCs w:val="24"/>
              </w:rPr>
            </w:pPr>
            <w:r>
              <w:rPr>
                <w:rFonts w:hint="eastAsia" w:eastAsia="宋体" w:cs="宋体"/>
                <w:kern w:val="2"/>
                <w:sz w:val="24"/>
                <w:szCs w:val="24"/>
              </w:rPr>
              <w:t>颜桂灵、邹少军</w:t>
            </w:r>
          </w:p>
        </w:tc>
        <w:tc>
          <w:tcPr>
            <w:tcW w:w="888"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9"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第七期</w:t>
            </w:r>
          </w:p>
        </w:tc>
        <w:tc>
          <w:tcPr>
            <w:tcW w:w="2621" w:type="dxa"/>
            <w:vAlign w:val="center"/>
          </w:tcPr>
          <w:p>
            <w:pPr>
              <w:kinsoku/>
              <w:autoSpaceDE/>
              <w:autoSpaceDN/>
              <w:spacing w:line="360" w:lineRule="auto"/>
              <w:jc w:val="both"/>
              <w:textAlignment w:val="auto"/>
              <w:rPr>
                <w:rFonts w:eastAsia="宋体" w:cs="宋体"/>
                <w:kern w:val="2"/>
                <w:sz w:val="24"/>
                <w:szCs w:val="24"/>
              </w:rPr>
            </w:pPr>
            <w:r>
              <w:rPr>
                <w:rFonts w:hint="eastAsia" w:eastAsia="宋体" w:cs="宋体"/>
                <w:kern w:val="2"/>
                <w:sz w:val="24"/>
                <w:szCs w:val="24"/>
              </w:rPr>
              <w:t>2022年4月</w:t>
            </w:r>
            <w:r>
              <w:rPr>
                <w:rFonts w:hint="eastAsia" w:eastAsia="宋体" w:cs="宋体"/>
                <w:kern w:val="2"/>
                <w:sz w:val="24"/>
                <w:szCs w:val="24"/>
                <w:lang w:val="en-US" w:eastAsia="zh-CN"/>
              </w:rPr>
              <w:t>22</w:t>
            </w:r>
            <w:r>
              <w:rPr>
                <w:rFonts w:hint="eastAsia" w:eastAsia="宋体" w:cs="宋体"/>
                <w:kern w:val="2"/>
                <w:sz w:val="24"/>
                <w:szCs w:val="24"/>
              </w:rPr>
              <w:t>、</w:t>
            </w:r>
            <w:r>
              <w:rPr>
                <w:rFonts w:hint="eastAsia" w:eastAsia="宋体" w:cs="宋体"/>
                <w:kern w:val="2"/>
                <w:sz w:val="24"/>
                <w:szCs w:val="24"/>
                <w:lang w:val="en-US" w:eastAsia="zh-CN"/>
              </w:rPr>
              <w:t>23</w:t>
            </w:r>
            <w:r>
              <w:rPr>
                <w:rFonts w:hint="eastAsia" w:eastAsia="宋体" w:cs="宋体"/>
                <w:kern w:val="2"/>
                <w:sz w:val="24"/>
                <w:szCs w:val="24"/>
              </w:rPr>
              <w:t>日</w:t>
            </w:r>
          </w:p>
        </w:tc>
        <w:tc>
          <w:tcPr>
            <w:tcW w:w="4063" w:type="dxa"/>
            <w:vAlign w:val="center"/>
          </w:tcPr>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工程师技术培训班</w:t>
            </w:r>
          </w:p>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（数字通信）</w:t>
            </w:r>
          </w:p>
        </w:tc>
        <w:tc>
          <w:tcPr>
            <w:tcW w:w="1245" w:type="dxa"/>
            <w:vAlign w:val="center"/>
          </w:tcPr>
          <w:p>
            <w:pPr>
              <w:kinsoku/>
              <w:autoSpaceDE/>
              <w:autoSpaceDN/>
              <w:spacing w:line="288" w:lineRule="auto"/>
              <w:jc w:val="both"/>
              <w:textAlignment w:val="auto"/>
              <w:rPr>
                <w:rFonts w:eastAsia="宋体" w:cs="宋体"/>
                <w:kern w:val="2"/>
                <w:sz w:val="24"/>
                <w:szCs w:val="24"/>
              </w:rPr>
            </w:pPr>
            <w:r>
              <w:rPr>
                <w:rFonts w:hint="eastAsia" w:eastAsia="宋体" w:cs="宋体"/>
                <w:kern w:val="2"/>
                <w:sz w:val="24"/>
                <w:szCs w:val="24"/>
              </w:rPr>
              <w:t>颜桂灵、邹少军</w:t>
            </w:r>
          </w:p>
        </w:tc>
        <w:tc>
          <w:tcPr>
            <w:tcW w:w="888"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9"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第八期</w:t>
            </w:r>
          </w:p>
        </w:tc>
        <w:tc>
          <w:tcPr>
            <w:tcW w:w="2621" w:type="dxa"/>
            <w:vAlign w:val="center"/>
          </w:tcPr>
          <w:p>
            <w:pPr>
              <w:kinsoku/>
              <w:autoSpaceDE/>
              <w:autoSpaceDN/>
              <w:spacing w:line="360" w:lineRule="auto"/>
              <w:jc w:val="both"/>
              <w:textAlignment w:val="auto"/>
              <w:rPr>
                <w:rFonts w:eastAsia="宋体" w:cs="宋体"/>
                <w:kern w:val="2"/>
                <w:sz w:val="24"/>
                <w:szCs w:val="24"/>
              </w:rPr>
            </w:pPr>
            <w:r>
              <w:rPr>
                <w:rFonts w:hint="eastAsia" w:eastAsia="宋体" w:cs="宋体"/>
                <w:kern w:val="2"/>
                <w:sz w:val="24"/>
                <w:szCs w:val="24"/>
              </w:rPr>
              <w:t>2022年4月2</w:t>
            </w:r>
            <w:r>
              <w:rPr>
                <w:rFonts w:hint="eastAsia" w:eastAsia="宋体" w:cs="宋体"/>
                <w:kern w:val="2"/>
                <w:sz w:val="24"/>
                <w:szCs w:val="24"/>
                <w:lang w:val="en-US" w:eastAsia="zh-CN"/>
              </w:rPr>
              <w:t>5</w:t>
            </w:r>
            <w:r>
              <w:rPr>
                <w:rFonts w:hint="eastAsia" w:eastAsia="宋体" w:cs="宋体"/>
                <w:kern w:val="2"/>
                <w:sz w:val="24"/>
                <w:szCs w:val="24"/>
              </w:rPr>
              <w:t>、2</w:t>
            </w:r>
            <w:r>
              <w:rPr>
                <w:rFonts w:hint="eastAsia" w:eastAsia="宋体" w:cs="宋体"/>
                <w:kern w:val="2"/>
                <w:sz w:val="24"/>
                <w:szCs w:val="24"/>
                <w:lang w:val="en-US" w:eastAsia="zh-CN"/>
              </w:rPr>
              <w:t>6</w:t>
            </w:r>
            <w:r>
              <w:rPr>
                <w:rFonts w:hint="eastAsia" w:eastAsia="宋体" w:cs="宋体"/>
                <w:kern w:val="2"/>
                <w:sz w:val="24"/>
                <w:szCs w:val="24"/>
              </w:rPr>
              <w:t>日</w:t>
            </w:r>
          </w:p>
        </w:tc>
        <w:tc>
          <w:tcPr>
            <w:tcW w:w="4063" w:type="dxa"/>
            <w:vAlign w:val="center"/>
          </w:tcPr>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企业数字化转型高管班</w:t>
            </w:r>
          </w:p>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w:t>
            </w:r>
            <w:r>
              <w:rPr>
                <w:rFonts w:hint="eastAsia" w:ascii="宋体" w:hAnsi="宋体" w:eastAsia="宋体" w:cs="宋体"/>
                <w:sz w:val="24"/>
                <w:szCs w:val="24"/>
              </w:rPr>
              <w:t>企业数字化转型与技术分享</w:t>
            </w:r>
            <w:r>
              <w:rPr>
                <w:rFonts w:hint="eastAsia" w:ascii="宋体" w:hAnsi="宋体" w:eastAsia="宋体" w:cs="宋体"/>
                <w:kern w:val="2"/>
                <w:sz w:val="24"/>
                <w:szCs w:val="24"/>
              </w:rPr>
              <w:t>）</w:t>
            </w:r>
          </w:p>
        </w:tc>
        <w:tc>
          <w:tcPr>
            <w:tcW w:w="1245" w:type="dxa"/>
            <w:vAlign w:val="center"/>
          </w:tcPr>
          <w:p>
            <w:pPr>
              <w:kinsoku/>
              <w:autoSpaceDE/>
              <w:autoSpaceDN/>
              <w:spacing w:line="288" w:lineRule="auto"/>
              <w:jc w:val="both"/>
              <w:textAlignment w:val="auto"/>
              <w:rPr>
                <w:rFonts w:eastAsia="宋体" w:cs="宋体"/>
                <w:kern w:val="2"/>
                <w:sz w:val="24"/>
                <w:szCs w:val="24"/>
              </w:rPr>
            </w:pPr>
            <w:r>
              <w:rPr>
                <w:rFonts w:hint="eastAsia" w:eastAsia="宋体" w:cs="宋体"/>
                <w:kern w:val="2"/>
                <w:sz w:val="24"/>
                <w:szCs w:val="24"/>
                <w:lang w:bidi="ar"/>
              </w:rPr>
              <w:t>邹少军、</w:t>
            </w:r>
            <w:r>
              <w:rPr>
                <w:rFonts w:hint="eastAsia" w:eastAsia="宋体" w:cs="宋体"/>
                <w:kern w:val="2"/>
                <w:sz w:val="24"/>
                <w:szCs w:val="24"/>
              </w:rPr>
              <w:t>俞翔</w:t>
            </w:r>
          </w:p>
        </w:tc>
        <w:tc>
          <w:tcPr>
            <w:tcW w:w="888"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9"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第九期</w:t>
            </w:r>
          </w:p>
        </w:tc>
        <w:tc>
          <w:tcPr>
            <w:tcW w:w="2621" w:type="dxa"/>
            <w:vAlign w:val="center"/>
          </w:tcPr>
          <w:p>
            <w:pPr>
              <w:kinsoku/>
              <w:autoSpaceDE/>
              <w:autoSpaceDN/>
              <w:spacing w:line="360" w:lineRule="auto"/>
              <w:jc w:val="both"/>
              <w:textAlignment w:val="auto"/>
              <w:rPr>
                <w:rFonts w:eastAsia="宋体" w:cs="宋体"/>
                <w:kern w:val="2"/>
                <w:sz w:val="24"/>
                <w:szCs w:val="24"/>
              </w:rPr>
            </w:pPr>
            <w:r>
              <w:rPr>
                <w:rFonts w:hint="eastAsia" w:eastAsia="宋体" w:cs="宋体"/>
                <w:kern w:val="2"/>
                <w:sz w:val="24"/>
                <w:szCs w:val="24"/>
              </w:rPr>
              <w:t>2022年4月28、29日</w:t>
            </w:r>
          </w:p>
        </w:tc>
        <w:tc>
          <w:tcPr>
            <w:tcW w:w="4063" w:type="dxa"/>
            <w:vAlign w:val="center"/>
          </w:tcPr>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工程师技术培训班</w:t>
            </w:r>
          </w:p>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（物联网）</w:t>
            </w:r>
          </w:p>
        </w:tc>
        <w:tc>
          <w:tcPr>
            <w:tcW w:w="1245" w:type="dxa"/>
            <w:vAlign w:val="center"/>
          </w:tcPr>
          <w:p>
            <w:pPr>
              <w:kinsoku/>
              <w:autoSpaceDE/>
              <w:autoSpaceDN/>
              <w:spacing w:line="288" w:lineRule="auto"/>
              <w:jc w:val="both"/>
              <w:textAlignment w:val="auto"/>
              <w:rPr>
                <w:rFonts w:eastAsia="宋体" w:cs="宋体"/>
                <w:kern w:val="2"/>
                <w:sz w:val="24"/>
                <w:szCs w:val="24"/>
              </w:rPr>
            </w:pPr>
            <w:r>
              <w:rPr>
                <w:rFonts w:hint="eastAsia" w:eastAsia="宋体" w:cs="宋体"/>
                <w:kern w:val="2"/>
                <w:sz w:val="24"/>
                <w:szCs w:val="24"/>
              </w:rPr>
              <w:t>郑士基、杨诚</w:t>
            </w:r>
          </w:p>
        </w:tc>
        <w:tc>
          <w:tcPr>
            <w:tcW w:w="888"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9"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第十期</w:t>
            </w:r>
          </w:p>
        </w:tc>
        <w:tc>
          <w:tcPr>
            <w:tcW w:w="2621" w:type="dxa"/>
            <w:vAlign w:val="center"/>
          </w:tcPr>
          <w:p>
            <w:pPr>
              <w:kinsoku/>
              <w:autoSpaceDE/>
              <w:autoSpaceDN/>
              <w:spacing w:line="360" w:lineRule="auto"/>
              <w:jc w:val="both"/>
              <w:textAlignment w:val="auto"/>
              <w:rPr>
                <w:rFonts w:eastAsia="宋体" w:cs="宋体"/>
                <w:kern w:val="2"/>
                <w:sz w:val="24"/>
                <w:szCs w:val="24"/>
              </w:rPr>
            </w:pPr>
            <w:r>
              <w:rPr>
                <w:rFonts w:hint="eastAsia" w:eastAsia="宋体" w:cs="宋体"/>
                <w:kern w:val="2"/>
                <w:sz w:val="24"/>
                <w:szCs w:val="24"/>
              </w:rPr>
              <w:t>2022年5月6、7日</w:t>
            </w:r>
          </w:p>
        </w:tc>
        <w:tc>
          <w:tcPr>
            <w:tcW w:w="4063" w:type="dxa"/>
            <w:vAlign w:val="center"/>
          </w:tcPr>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企业数字化转型高管班</w:t>
            </w:r>
          </w:p>
          <w:p>
            <w:pPr>
              <w:kinsoku/>
              <w:autoSpaceDE/>
              <w:autoSpaceDN/>
              <w:spacing w:line="288" w:lineRule="auto"/>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w:t>
            </w:r>
            <w:r>
              <w:rPr>
                <w:rFonts w:hint="eastAsia" w:ascii="宋体" w:hAnsi="宋体" w:eastAsia="宋体" w:cs="宋体"/>
                <w:sz w:val="24"/>
                <w:szCs w:val="24"/>
              </w:rPr>
              <w:t>企业数字化转型与技术分享</w:t>
            </w:r>
            <w:r>
              <w:rPr>
                <w:rFonts w:hint="eastAsia" w:ascii="宋体" w:hAnsi="宋体" w:eastAsia="宋体" w:cs="宋体"/>
                <w:kern w:val="2"/>
                <w:sz w:val="24"/>
                <w:szCs w:val="24"/>
              </w:rPr>
              <w:t>）</w:t>
            </w:r>
          </w:p>
        </w:tc>
        <w:tc>
          <w:tcPr>
            <w:tcW w:w="1245" w:type="dxa"/>
            <w:vAlign w:val="center"/>
          </w:tcPr>
          <w:p>
            <w:pPr>
              <w:kinsoku/>
              <w:autoSpaceDE/>
              <w:autoSpaceDN/>
              <w:spacing w:line="288" w:lineRule="auto"/>
              <w:jc w:val="both"/>
              <w:textAlignment w:val="auto"/>
              <w:rPr>
                <w:rFonts w:eastAsia="宋体" w:cs="宋体"/>
                <w:kern w:val="2"/>
                <w:sz w:val="24"/>
                <w:szCs w:val="24"/>
              </w:rPr>
            </w:pPr>
            <w:r>
              <w:rPr>
                <w:rFonts w:hint="eastAsia" w:eastAsia="宋体" w:cs="宋体"/>
                <w:kern w:val="2"/>
                <w:sz w:val="24"/>
                <w:szCs w:val="24"/>
                <w:lang w:bidi="ar"/>
              </w:rPr>
              <w:t>邹少军、</w:t>
            </w:r>
            <w:r>
              <w:rPr>
                <w:rFonts w:hint="eastAsia" w:eastAsia="宋体" w:cs="宋体"/>
                <w:kern w:val="2"/>
                <w:sz w:val="24"/>
                <w:szCs w:val="24"/>
              </w:rPr>
              <w:t>俞翔</w:t>
            </w:r>
          </w:p>
        </w:tc>
        <w:tc>
          <w:tcPr>
            <w:tcW w:w="888" w:type="dxa"/>
            <w:vAlign w:val="center"/>
          </w:tcPr>
          <w:p>
            <w:pPr>
              <w:kinsoku/>
              <w:autoSpaceDE/>
              <w:autoSpaceDN/>
              <w:spacing w:line="360" w:lineRule="auto"/>
              <w:jc w:val="center"/>
              <w:textAlignment w:val="auto"/>
              <w:rPr>
                <w:rFonts w:eastAsia="宋体" w:cs="宋体"/>
                <w:kern w:val="2"/>
                <w:sz w:val="24"/>
                <w:szCs w:val="24"/>
              </w:rPr>
            </w:pPr>
            <w:r>
              <w:rPr>
                <w:rFonts w:hint="eastAsia" w:eastAsia="宋体" w:cs="宋体"/>
                <w:kern w:val="2"/>
                <w:sz w:val="24"/>
                <w:szCs w:val="24"/>
              </w:rPr>
              <w:t>49</w:t>
            </w:r>
          </w:p>
        </w:tc>
      </w:tr>
    </w:tbl>
    <w:p>
      <w:pPr>
        <w:spacing w:line="360" w:lineRule="auto"/>
        <w:ind w:right="191" w:firstLine="800" w:firstLineChars="250"/>
        <w:jc w:val="both"/>
        <w:rPr>
          <w:rFonts w:hint="eastAsia" w:ascii="Arial" w:hAnsi="Arial" w:eastAsia="方正仿宋_GB2312" w:cs="方正仿宋_GB2312"/>
          <w:kern w:val="2"/>
          <w:sz w:val="32"/>
          <w:szCs w:val="32"/>
        </w:rPr>
      </w:pPr>
      <w:r>
        <w:rPr>
          <w:rFonts w:hint="eastAsia" w:ascii="Arial" w:hAnsi="Arial" w:eastAsia="方正仿宋_GB2312" w:cs="方正仿宋_GB2312"/>
          <w:kern w:val="2"/>
          <w:sz w:val="32"/>
          <w:szCs w:val="32"/>
        </w:rPr>
        <w:t>（二）培训班型</w:t>
      </w:r>
    </w:p>
    <w:p>
      <w:pPr>
        <w:spacing w:line="360" w:lineRule="auto"/>
        <w:ind w:right="191" w:firstLine="803" w:firstLineChars="250"/>
        <w:jc w:val="both"/>
        <w:rPr>
          <w:rFonts w:hint="eastAsia" w:ascii="Arial" w:hAnsi="Arial" w:eastAsia="方正仿宋_GB2312" w:cs="方正仿宋_GB2312"/>
          <w:kern w:val="2"/>
          <w:sz w:val="32"/>
          <w:szCs w:val="32"/>
        </w:rPr>
      </w:pPr>
      <w:r>
        <w:rPr>
          <w:rFonts w:hint="eastAsia" w:ascii="Arial" w:hAnsi="Arial" w:eastAsia="方正仿宋_GB2312" w:cs="方正仿宋_GB2312"/>
          <w:b/>
          <w:bCs/>
          <w:kern w:val="2"/>
          <w:sz w:val="32"/>
          <w:szCs w:val="32"/>
        </w:rPr>
        <w:t>工程师技术培训班</w:t>
      </w:r>
      <w:r>
        <w:rPr>
          <w:rFonts w:hint="eastAsia" w:ascii="Arial" w:hAnsi="Arial" w:eastAsia="方正仿宋_GB2312" w:cs="方正仿宋_GB2312"/>
          <w:kern w:val="2"/>
          <w:sz w:val="32"/>
          <w:szCs w:val="32"/>
        </w:rPr>
        <w:t>：向江门市制造业技术人员、软件服务上技术服务人员以及高职中职相关专业学生普及数字通信、物联网、网络安全等方面的技术知识，令企业一线人员可以掌握基本的数字化技术并将技术应用到日常的工作中。</w:t>
      </w:r>
    </w:p>
    <w:tbl>
      <w:tblPr>
        <w:tblStyle w:val="5"/>
        <w:tblW w:w="4894" w:type="pct"/>
        <w:jc w:val="center"/>
        <w:tblLayout w:type="autofit"/>
        <w:tblCellMar>
          <w:top w:w="0" w:type="dxa"/>
          <w:left w:w="108" w:type="dxa"/>
          <w:bottom w:w="0" w:type="dxa"/>
          <w:right w:w="108" w:type="dxa"/>
        </w:tblCellMar>
      </w:tblPr>
      <w:tblGrid>
        <w:gridCol w:w="2471"/>
        <w:gridCol w:w="5194"/>
        <w:gridCol w:w="2080"/>
      </w:tblGrid>
      <w:tr>
        <w:tblPrEx>
          <w:tblCellMar>
            <w:top w:w="0" w:type="dxa"/>
            <w:left w:w="108" w:type="dxa"/>
            <w:bottom w:w="0" w:type="dxa"/>
            <w:right w:w="108" w:type="dxa"/>
          </w:tblCellMar>
        </w:tblPrEx>
        <w:trPr>
          <w:trHeight w:val="413" w:hRule="atLeast"/>
          <w:tblHeader/>
          <w:jc w:val="center"/>
        </w:trPr>
        <w:tc>
          <w:tcPr>
            <w:tcW w:w="1268" w:type="pct"/>
            <w:tcBorders>
              <w:top w:val="single" w:color="auto" w:sz="8" w:space="0"/>
              <w:left w:val="single" w:color="auto" w:sz="8" w:space="0"/>
              <w:bottom w:val="single" w:color="auto" w:sz="8" w:space="0"/>
              <w:right w:val="single" w:color="auto" w:sz="4" w:space="0"/>
            </w:tcBorders>
            <w:shd w:val="clear" w:color="000000" w:fill="D9D9D9"/>
            <w:vAlign w:val="center"/>
          </w:tcPr>
          <w:p>
            <w:pPr>
              <w:jc w:val="center"/>
              <w:rPr>
                <w:rFonts w:asciiTheme="majorEastAsia" w:hAnsiTheme="majorEastAsia" w:eastAsiaTheme="majorEastAsia"/>
                <w:b/>
                <w:sz w:val="22"/>
                <w:szCs w:val="22"/>
              </w:rPr>
            </w:pPr>
            <w:r>
              <w:rPr>
                <w:rFonts w:asciiTheme="majorEastAsia" w:hAnsiTheme="majorEastAsia" w:eastAsiaTheme="majorEastAsia"/>
                <w:b/>
                <w:sz w:val="22"/>
                <w:szCs w:val="22"/>
              </w:rPr>
              <w:t>培训方向</w:t>
            </w:r>
          </w:p>
        </w:tc>
        <w:tc>
          <w:tcPr>
            <w:tcW w:w="2665" w:type="pct"/>
            <w:tcBorders>
              <w:top w:val="single" w:color="auto" w:sz="8" w:space="0"/>
              <w:left w:val="nil"/>
              <w:bottom w:val="single" w:color="auto" w:sz="8" w:space="0"/>
              <w:right w:val="single" w:color="auto" w:sz="4" w:space="0"/>
            </w:tcBorders>
            <w:shd w:val="clear" w:color="000000" w:fill="D9D9D9"/>
            <w:vAlign w:val="center"/>
          </w:tcPr>
          <w:p>
            <w:pPr>
              <w:jc w:val="center"/>
              <w:rPr>
                <w:rFonts w:ascii="Times New Roman" w:hAnsi="Times New Roman" w:eastAsia="仿宋_GB2312"/>
                <w:b/>
                <w:sz w:val="28"/>
                <w:szCs w:val="28"/>
              </w:rPr>
            </w:pPr>
            <w:r>
              <w:rPr>
                <w:rFonts w:asciiTheme="majorEastAsia" w:hAnsiTheme="majorEastAsia" w:eastAsiaTheme="majorEastAsia"/>
                <w:b/>
                <w:sz w:val="22"/>
                <w:szCs w:val="22"/>
              </w:rPr>
              <w:t>课程内容</w:t>
            </w:r>
          </w:p>
        </w:tc>
        <w:tc>
          <w:tcPr>
            <w:tcW w:w="1067" w:type="pct"/>
            <w:tcBorders>
              <w:top w:val="single" w:color="auto" w:sz="8" w:space="0"/>
              <w:left w:val="nil"/>
              <w:bottom w:val="single" w:color="auto" w:sz="8" w:space="0"/>
              <w:right w:val="single" w:color="auto" w:sz="8" w:space="0"/>
            </w:tcBorders>
            <w:shd w:val="clear" w:color="000000" w:fill="D9D9D9"/>
            <w:vAlign w:val="center"/>
          </w:tcPr>
          <w:p>
            <w:pPr>
              <w:jc w:val="center"/>
              <w:rPr>
                <w:rFonts w:ascii="Times New Roman" w:hAnsi="Times New Roman" w:eastAsia="仿宋_GB2312"/>
                <w:b/>
                <w:sz w:val="28"/>
                <w:szCs w:val="28"/>
              </w:rPr>
            </w:pPr>
            <w:r>
              <w:rPr>
                <w:rFonts w:asciiTheme="majorEastAsia" w:hAnsiTheme="majorEastAsia" w:eastAsiaTheme="majorEastAsia"/>
                <w:b/>
                <w:sz w:val="22"/>
                <w:szCs w:val="22"/>
              </w:rPr>
              <w:t>教学方式</w:t>
            </w:r>
          </w:p>
        </w:tc>
      </w:tr>
      <w:tr>
        <w:tblPrEx>
          <w:tblCellMar>
            <w:top w:w="0" w:type="dxa"/>
            <w:left w:w="108" w:type="dxa"/>
            <w:bottom w:w="0" w:type="dxa"/>
            <w:right w:w="108" w:type="dxa"/>
          </w:tblCellMar>
        </w:tblPrEx>
        <w:trPr>
          <w:trHeight w:val="320" w:hRule="atLeast"/>
          <w:jc w:val="center"/>
        </w:trPr>
        <w:tc>
          <w:tcPr>
            <w:tcW w:w="1268" w:type="pct"/>
            <w:vMerge w:val="restart"/>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r>
              <w:rPr>
                <w:rFonts w:hint="eastAsia" w:asciiTheme="minorEastAsia" w:hAnsiTheme="minorEastAsia" w:eastAsiaTheme="minorEastAsia"/>
                <w:sz w:val="24"/>
                <w:szCs w:val="24"/>
                <w:lang w:eastAsia="zh-Hans"/>
              </w:rPr>
              <w:t>数字通信</w:t>
            </w:r>
          </w:p>
        </w:tc>
        <w:tc>
          <w:tcPr>
            <w:tcW w:w="2665" w:type="pct"/>
            <w:tcBorders>
              <w:top w:val="single" w:color="auto" w:sz="8" w:space="0"/>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数据通信网络基础　</w:t>
            </w:r>
          </w:p>
        </w:tc>
        <w:tc>
          <w:tcPr>
            <w:tcW w:w="1067" w:type="pct"/>
            <w:vMerge w:val="restart"/>
            <w:tcBorders>
              <w:top w:val="single" w:color="auto" w:sz="8" w:space="0"/>
              <w:left w:val="single" w:color="auto" w:sz="4" w:space="0"/>
              <w:bottom w:val="single" w:color="auto" w:sz="4" w:space="0"/>
              <w:right w:val="single" w:color="auto" w:sz="8" w:space="0"/>
            </w:tcBorders>
            <w:vAlign w:val="center"/>
          </w:tcPr>
          <w:p>
            <w:pPr>
              <w:spacing w:line="560" w:lineRule="exact"/>
              <w:jc w:val="center"/>
              <w:rPr>
                <w:rFonts w:ascii="Times New Roman" w:hAnsi="Times New Roman" w:eastAsia="仿宋_GB2312"/>
                <w:sz w:val="28"/>
                <w:szCs w:val="28"/>
              </w:rPr>
            </w:pPr>
            <w:r>
              <w:rPr>
                <w:rFonts w:asciiTheme="minorEastAsia" w:hAnsiTheme="minorEastAsia" w:eastAsiaTheme="minorEastAsia"/>
                <w:sz w:val="24"/>
                <w:szCs w:val="24"/>
                <w:lang w:eastAsia="zh-Hans"/>
              </w:rPr>
              <w:t>理论授课</w:t>
            </w:r>
          </w:p>
        </w:tc>
      </w:tr>
      <w:tr>
        <w:tblPrEx>
          <w:tblCellMar>
            <w:top w:w="0" w:type="dxa"/>
            <w:left w:w="108" w:type="dxa"/>
            <w:bottom w:w="0" w:type="dxa"/>
            <w:right w:w="108" w:type="dxa"/>
          </w:tblCellMar>
        </w:tblPrEx>
        <w:trPr>
          <w:trHeight w:val="320" w:hRule="atLeast"/>
          <w:jc w:val="center"/>
        </w:trPr>
        <w:tc>
          <w:tcPr>
            <w:tcW w:w="1268" w:type="pct"/>
            <w:vMerge w:val="continue"/>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网络参考模型</w:t>
            </w:r>
          </w:p>
        </w:tc>
        <w:tc>
          <w:tcPr>
            <w:tcW w:w="1067" w:type="pct"/>
            <w:vMerge w:val="continue"/>
            <w:tcBorders>
              <w:top w:val="single" w:color="auto" w:sz="8" w:space="0"/>
              <w:left w:val="single" w:color="auto" w:sz="4" w:space="0"/>
              <w:bottom w:val="single" w:color="auto" w:sz="4" w:space="0"/>
              <w:right w:val="single" w:color="auto" w:sz="8" w:space="0"/>
            </w:tcBorders>
            <w:vAlign w:val="center"/>
          </w:tcPr>
          <w:p>
            <w:pPr>
              <w:spacing w:line="560" w:lineRule="exact"/>
              <w:jc w:val="center"/>
              <w:rPr>
                <w:rFonts w:ascii="Times New Roman" w:hAnsi="Times New Roman" w:eastAsia="仿宋_GB2312"/>
                <w:sz w:val="28"/>
                <w:szCs w:val="28"/>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网络层协议及IP编址</w:t>
            </w:r>
          </w:p>
        </w:tc>
        <w:tc>
          <w:tcPr>
            <w:tcW w:w="1067" w:type="pct"/>
            <w:vMerge w:val="continue"/>
            <w:tcBorders>
              <w:top w:val="single" w:color="auto" w:sz="8" w:space="0"/>
              <w:left w:val="single" w:color="auto" w:sz="4" w:space="0"/>
              <w:bottom w:val="single" w:color="auto" w:sz="4" w:space="0"/>
              <w:right w:val="single" w:color="auto" w:sz="8" w:space="0"/>
            </w:tcBorders>
            <w:vAlign w:val="center"/>
          </w:tcPr>
          <w:p>
            <w:pPr>
              <w:spacing w:line="560" w:lineRule="exact"/>
              <w:jc w:val="center"/>
              <w:rPr>
                <w:rFonts w:ascii="Times New Roman" w:hAnsi="Times New Roman" w:eastAsia="仿宋_GB2312"/>
                <w:sz w:val="28"/>
                <w:szCs w:val="28"/>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以太网交换基础</w:t>
            </w:r>
          </w:p>
        </w:tc>
        <w:tc>
          <w:tcPr>
            <w:tcW w:w="1067" w:type="pct"/>
            <w:vMerge w:val="restart"/>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理论+实验</w:t>
            </w:r>
          </w:p>
        </w:tc>
      </w:tr>
      <w:tr>
        <w:tblPrEx>
          <w:tblCellMar>
            <w:top w:w="0" w:type="dxa"/>
            <w:left w:w="108" w:type="dxa"/>
            <w:bottom w:w="0" w:type="dxa"/>
            <w:right w:w="108" w:type="dxa"/>
          </w:tblCellMar>
        </w:tblPrEx>
        <w:trPr>
          <w:trHeight w:val="320" w:hRule="atLeast"/>
          <w:jc w:val="center"/>
        </w:trPr>
        <w:tc>
          <w:tcPr>
            <w:tcW w:w="1268" w:type="pct"/>
            <w:vMerge w:val="continue"/>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VLAN</w:t>
            </w:r>
            <w:r>
              <w:rPr>
                <w:rFonts w:asciiTheme="minorEastAsia" w:hAnsiTheme="minorEastAsia" w:eastAsiaTheme="minorEastAsia"/>
                <w:sz w:val="24"/>
                <w:szCs w:val="24"/>
                <w:lang w:eastAsia="zh-Hans"/>
              </w:rPr>
              <w:t>原理与配置</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VLAN</w:t>
            </w:r>
            <w:r>
              <w:rPr>
                <w:rFonts w:asciiTheme="minorEastAsia" w:hAnsiTheme="minorEastAsia" w:eastAsiaTheme="minorEastAsia"/>
                <w:sz w:val="24"/>
                <w:szCs w:val="24"/>
                <w:lang w:eastAsia="zh-Hans"/>
              </w:rPr>
              <w:t>间路由</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单臂路由</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IP</w:t>
            </w:r>
            <w:r>
              <w:rPr>
                <w:rFonts w:asciiTheme="minorEastAsia" w:hAnsiTheme="minorEastAsia" w:eastAsiaTheme="minorEastAsia"/>
                <w:sz w:val="24"/>
                <w:szCs w:val="24"/>
                <w:lang w:eastAsia="zh-Hans"/>
              </w:rPr>
              <w:t>路由基础</w:t>
            </w:r>
          </w:p>
        </w:tc>
        <w:tc>
          <w:tcPr>
            <w:tcW w:w="1067" w:type="pct"/>
            <w:vMerge w:val="restart"/>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理论+实验</w:t>
            </w:r>
          </w:p>
        </w:tc>
      </w:tr>
      <w:tr>
        <w:tblPrEx>
          <w:tblCellMar>
            <w:top w:w="0" w:type="dxa"/>
            <w:left w:w="108" w:type="dxa"/>
            <w:bottom w:w="0" w:type="dxa"/>
            <w:right w:w="108" w:type="dxa"/>
          </w:tblCellMar>
        </w:tblPrEx>
        <w:trPr>
          <w:trHeight w:val="320" w:hRule="atLeast"/>
          <w:jc w:val="center"/>
        </w:trPr>
        <w:tc>
          <w:tcPr>
            <w:tcW w:w="1268" w:type="pct"/>
            <w:vMerge w:val="continue"/>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静态路由技术</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IPv4</w:t>
            </w:r>
            <w:r>
              <w:rPr>
                <w:rFonts w:asciiTheme="minorEastAsia" w:hAnsiTheme="minorEastAsia" w:eastAsiaTheme="minorEastAsia"/>
                <w:sz w:val="24"/>
                <w:szCs w:val="24"/>
                <w:lang w:eastAsia="zh-Hans"/>
              </w:rPr>
              <w:t>及</w:t>
            </w:r>
            <w:r>
              <w:rPr>
                <w:rFonts w:eastAsiaTheme="minorEastAsia"/>
                <w:sz w:val="24"/>
                <w:szCs w:val="24"/>
                <w:lang w:eastAsia="zh-Hans"/>
              </w:rPr>
              <w:t>IP</w:t>
            </w:r>
            <w:r>
              <w:rPr>
                <w:rFonts w:asciiTheme="minorEastAsia" w:hAnsiTheme="minorEastAsia" w:eastAsiaTheme="minorEastAsia"/>
                <w:sz w:val="24"/>
                <w:szCs w:val="24"/>
                <w:lang w:eastAsia="zh-Hans"/>
              </w:rPr>
              <w:t>路由基础实验</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OSPF</w:t>
            </w:r>
            <w:r>
              <w:rPr>
                <w:rFonts w:asciiTheme="minorEastAsia" w:hAnsiTheme="minorEastAsia" w:eastAsiaTheme="minorEastAsia"/>
                <w:sz w:val="24"/>
                <w:szCs w:val="24"/>
                <w:lang w:eastAsia="zh-Hans"/>
              </w:rPr>
              <w:t>基础</w:t>
            </w:r>
          </w:p>
        </w:tc>
        <w:tc>
          <w:tcPr>
            <w:tcW w:w="1067" w:type="pct"/>
            <w:vMerge w:val="restart"/>
            <w:tcBorders>
              <w:top w:val="nil"/>
              <w:left w:val="single" w:color="auto" w:sz="4" w:space="0"/>
              <w:bottom w:val="single" w:color="000000" w:sz="8"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理论+实验</w:t>
            </w:r>
          </w:p>
        </w:tc>
      </w:tr>
      <w:tr>
        <w:tblPrEx>
          <w:tblCellMar>
            <w:top w:w="0" w:type="dxa"/>
            <w:left w:w="108" w:type="dxa"/>
            <w:bottom w:w="0" w:type="dxa"/>
            <w:right w:w="108" w:type="dxa"/>
          </w:tblCellMar>
        </w:tblPrEx>
        <w:trPr>
          <w:trHeight w:val="320" w:hRule="atLeast"/>
          <w:jc w:val="center"/>
        </w:trPr>
        <w:tc>
          <w:tcPr>
            <w:tcW w:w="1268" w:type="pct"/>
            <w:vMerge w:val="continue"/>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OSPF</w:t>
            </w:r>
            <w:r>
              <w:rPr>
                <w:rFonts w:asciiTheme="minorEastAsia" w:hAnsiTheme="minorEastAsia" w:eastAsiaTheme="minorEastAsia"/>
                <w:sz w:val="24"/>
                <w:szCs w:val="24"/>
                <w:lang w:eastAsia="zh-Hans"/>
              </w:rPr>
              <w:t>路由协议基本配置实验</w:t>
            </w:r>
          </w:p>
        </w:tc>
        <w:tc>
          <w:tcPr>
            <w:tcW w:w="1067" w:type="pct"/>
            <w:vMerge w:val="continue"/>
            <w:tcBorders>
              <w:top w:val="nil"/>
              <w:left w:val="single" w:color="auto" w:sz="4" w:space="0"/>
              <w:bottom w:val="single" w:color="000000" w:sz="8"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40" w:hRule="atLeast"/>
          <w:jc w:val="center"/>
        </w:trPr>
        <w:tc>
          <w:tcPr>
            <w:tcW w:w="1268" w:type="pct"/>
            <w:vMerge w:val="continue"/>
            <w:tcBorders>
              <w:top w:val="single" w:color="auto" w:sz="8" w:space="0"/>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综合实验</w:t>
            </w:r>
          </w:p>
        </w:tc>
        <w:tc>
          <w:tcPr>
            <w:tcW w:w="1067" w:type="pct"/>
            <w:vMerge w:val="continue"/>
            <w:tcBorders>
              <w:top w:val="nil"/>
              <w:left w:val="single" w:color="auto" w:sz="4" w:space="0"/>
              <w:bottom w:val="single" w:color="000000" w:sz="8"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restart"/>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物联网</w:t>
            </w: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物联网发展简史与概述</w:t>
            </w:r>
          </w:p>
        </w:tc>
        <w:tc>
          <w:tcPr>
            <w:tcW w:w="1067" w:type="pct"/>
            <w:vMerge w:val="restart"/>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理论授课</w:t>
            </w: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物联网行业应用与解决方案</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物联网安全技术</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常见物联网通信技术概览</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物联网平台介绍</w:t>
            </w:r>
          </w:p>
        </w:tc>
        <w:tc>
          <w:tcPr>
            <w:tcW w:w="1067" w:type="pct"/>
            <w:vMerge w:val="restart"/>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理论+实验</w:t>
            </w: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物联网平台二次开发介绍</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物联网平台开发实验</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物联网操作系统</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感知层开发介绍</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通信模组AT指令介绍</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NB-IoT</w:t>
            </w:r>
            <w:r>
              <w:rPr>
                <w:rFonts w:asciiTheme="minorEastAsia" w:hAnsiTheme="minorEastAsia" w:eastAsiaTheme="minorEastAsia"/>
                <w:sz w:val="24"/>
                <w:szCs w:val="24"/>
                <w:lang w:eastAsia="zh-Hans"/>
              </w:rPr>
              <w:t>通信技术及解决方案介绍</w:t>
            </w:r>
          </w:p>
        </w:tc>
        <w:tc>
          <w:tcPr>
            <w:tcW w:w="1067" w:type="pct"/>
            <w:vMerge w:val="restart"/>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理论+实验</w:t>
            </w: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5G</w:t>
            </w:r>
            <w:r>
              <w:rPr>
                <w:rFonts w:asciiTheme="minorEastAsia" w:hAnsiTheme="minorEastAsia" w:eastAsiaTheme="minorEastAsia"/>
                <w:sz w:val="24"/>
                <w:szCs w:val="24"/>
                <w:lang w:eastAsia="zh-Hans"/>
              </w:rPr>
              <w:t>通信技术及解决方案介绍</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工业物联网关介绍</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家庭物联网关介绍</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Huawei LiteOS</w:t>
            </w:r>
            <w:r>
              <w:rPr>
                <w:rFonts w:asciiTheme="minorEastAsia" w:hAnsiTheme="minorEastAsia" w:eastAsiaTheme="minorEastAsia"/>
                <w:sz w:val="24"/>
                <w:szCs w:val="24"/>
                <w:lang w:eastAsia="zh-Hans"/>
              </w:rPr>
              <w:t>操作系统实验</w:t>
            </w:r>
          </w:p>
        </w:tc>
        <w:tc>
          <w:tcPr>
            <w:tcW w:w="1067" w:type="pct"/>
            <w:vMerge w:val="restart"/>
            <w:tcBorders>
              <w:top w:val="nil"/>
              <w:left w:val="single" w:color="auto" w:sz="4" w:space="0"/>
              <w:bottom w:val="single" w:color="000000" w:sz="8"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理论+实验</w:t>
            </w: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基于</w:t>
            </w:r>
            <w:r>
              <w:rPr>
                <w:rFonts w:eastAsiaTheme="minorEastAsia"/>
                <w:sz w:val="24"/>
                <w:szCs w:val="24"/>
                <w:lang w:eastAsia="zh-Hans"/>
              </w:rPr>
              <w:t>NB-IoT</w:t>
            </w:r>
            <w:r>
              <w:rPr>
                <w:rFonts w:asciiTheme="minorEastAsia" w:hAnsiTheme="minorEastAsia" w:eastAsiaTheme="minorEastAsia"/>
                <w:sz w:val="24"/>
                <w:szCs w:val="24"/>
                <w:lang w:eastAsia="zh-Hans"/>
              </w:rPr>
              <w:t>模组的</w:t>
            </w:r>
            <w:r>
              <w:rPr>
                <w:rFonts w:eastAsiaTheme="minorEastAsia"/>
                <w:sz w:val="24"/>
                <w:szCs w:val="24"/>
                <w:lang w:eastAsia="zh-Hans"/>
              </w:rPr>
              <w:t>AT</w:t>
            </w:r>
            <w:r>
              <w:rPr>
                <w:rFonts w:asciiTheme="minorEastAsia" w:hAnsiTheme="minorEastAsia" w:eastAsiaTheme="minorEastAsia"/>
                <w:sz w:val="24"/>
                <w:szCs w:val="24"/>
                <w:lang w:eastAsia="zh-Hans"/>
              </w:rPr>
              <w:t>指令实验</w:t>
            </w:r>
          </w:p>
        </w:tc>
        <w:tc>
          <w:tcPr>
            <w:tcW w:w="1067" w:type="pct"/>
            <w:vMerge w:val="continue"/>
            <w:tcBorders>
              <w:top w:val="nil"/>
              <w:left w:val="single" w:color="auto" w:sz="4" w:space="0"/>
              <w:bottom w:val="single" w:color="000000" w:sz="8"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4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p>
        </w:tc>
        <w:tc>
          <w:tcPr>
            <w:tcW w:w="2665" w:type="pct"/>
            <w:tcBorders>
              <w:top w:val="nil"/>
              <w:left w:val="nil"/>
              <w:bottom w:val="single" w:color="auto"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物联网平台接口调用实验</w:t>
            </w:r>
          </w:p>
        </w:tc>
        <w:tc>
          <w:tcPr>
            <w:tcW w:w="1067" w:type="pct"/>
            <w:vMerge w:val="continue"/>
            <w:tcBorders>
              <w:top w:val="nil"/>
              <w:left w:val="single" w:color="auto" w:sz="4" w:space="0"/>
              <w:bottom w:val="single" w:color="000000" w:sz="8"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restart"/>
            <w:tcBorders>
              <w:top w:val="nil"/>
              <w:left w:val="single" w:color="auto" w:sz="8" w:space="0"/>
              <w:bottom w:val="single" w:color="000000" w:sz="8" w:space="0"/>
              <w:right w:val="single" w:color="auto" w:sz="4" w:space="0"/>
            </w:tcBorders>
            <w:vAlign w:val="center"/>
          </w:tcPr>
          <w:p>
            <w:pPr>
              <w:spacing w:line="560" w:lineRule="exact"/>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网络安全</w:t>
            </w: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网络安全基础</w:t>
            </w:r>
          </w:p>
        </w:tc>
        <w:tc>
          <w:tcPr>
            <w:tcW w:w="1067" w:type="pct"/>
            <w:vMerge w:val="restart"/>
            <w:tcBorders>
              <w:top w:val="nil"/>
              <w:left w:val="single" w:color="auto" w:sz="4" w:space="0"/>
              <w:bottom w:val="single" w:color="auto" w:sz="4" w:space="0"/>
              <w:right w:val="single" w:color="auto" w:sz="8" w:space="0"/>
            </w:tcBorders>
            <w:vAlign w:val="center"/>
          </w:tcPr>
          <w:p>
            <w:pPr>
              <w:spacing w:line="560" w:lineRule="exact"/>
              <w:ind w:firstLine="240" w:firstLineChars="100"/>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理论授课</w:t>
            </w: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防火墙分类</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状态检测防火墙原理</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防火墙安全策略技术</w:t>
            </w:r>
          </w:p>
        </w:tc>
        <w:tc>
          <w:tcPr>
            <w:tcW w:w="1067" w:type="pct"/>
            <w:vMerge w:val="restart"/>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理论+实验</w:t>
            </w: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源NAT技术原理</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NAT-Server</w:t>
            </w:r>
            <w:r>
              <w:rPr>
                <w:rFonts w:asciiTheme="minorEastAsia" w:hAnsiTheme="minorEastAsia" w:eastAsiaTheme="minorEastAsia"/>
                <w:sz w:val="24"/>
                <w:szCs w:val="24"/>
                <w:lang w:eastAsia="zh-Hans"/>
              </w:rPr>
              <w:t>技术</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防火墙双机热备技术</w:t>
            </w:r>
          </w:p>
        </w:tc>
        <w:tc>
          <w:tcPr>
            <w:tcW w:w="1067" w:type="pct"/>
            <w:vMerge w:val="restart"/>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理论+实验</w:t>
            </w: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VRRP</w:t>
            </w:r>
            <w:r>
              <w:rPr>
                <w:rFonts w:asciiTheme="minorEastAsia" w:hAnsiTheme="minorEastAsia" w:eastAsiaTheme="minorEastAsia"/>
                <w:sz w:val="24"/>
                <w:szCs w:val="24"/>
                <w:lang w:eastAsia="zh-Hans"/>
              </w:rPr>
              <w:t>技术原理</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VGMP</w:t>
            </w:r>
            <w:r>
              <w:rPr>
                <w:rFonts w:asciiTheme="minorEastAsia" w:hAnsiTheme="minorEastAsia" w:eastAsiaTheme="minorEastAsia"/>
                <w:sz w:val="24"/>
                <w:szCs w:val="24"/>
                <w:lang w:eastAsia="zh-Hans"/>
              </w:rPr>
              <w:t>技术原理</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HRP</w:t>
            </w:r>
            <w:r>
              <w:rPr>
                <w:rFonts w:asciiTheme="minorEastAsia" w:hAnsiTheme="minorEastAsia" w:eastAsiaTheme="minorEastAsia"/>
                <w:sz w:val="24"/>
                <w:szCs w:val="24"/>
                <w:lang w:eastAsia="zh-Hans"/>
              </w:rPr>
              <w:t>技术原理</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双机热备实验</w:t>
            </w:r>
          </w:p>
        </w:tc>
        <w:tc>
          <w:tcPr>
            <w:tcW w:w="1067" w:type="pct"/>
            <w:vMerge w:val="continue"/>
            <w:tcBorders>
              <w:top w:val="nil"/>
              <w:left w:val="single" w:color="auto" w:sz="4" w:space="0"/>
              <w:bottom w:val="single" w:color="auto" w:sz="4"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imes New Roman" w:hAnsi="Times New Roman" w:eastAsia="仿宋_GB2312"/>
                <w:sz w:val="28"/>
                <w:szCs w:val="28"/>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密码学基础</w:t>
            </w:r>
          </w:p>
        </w:tc>
        <w:tc>
          <w:tcPr>
            <w:tcW w:w="1067" w:type="pct"/>
            <w:vMerge w:val="restart"/>
            <w:tcBorders>
              <w:top w:val="nil"/>
              <w:left w:val="single" w:color="auto" w:sz="4" w:space="0"/>
              <w:bottom w:val="single" w:color="000000" w:sz="8"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r>
              <w:rPr>
                <w:rFonts w:asciiTheme="minorEastAsia" w:hAnsiTheme="minorEastAsia" w:eastAsiaTheme="minorEastAsia"/>
                <w:sz w:val="24"/>
                <w:szCs w:val="24"/>
                <w:lang w:eastAsia="zh-Hans"/>
              </w:rPr>
              <w:t>理论+实验</w:t>
            </w:r>
          </w:p>
        </w:tc>
      </w:tr>
      <w:tr>
        <w:tblPrEx>
          <w:tblCellMar>
            <w:top w:w="0" w:type="dxa"/>
            <w:left w:w="108" w:type="dxa"/>
            <w:bottom w:w="0" w:type="dxa"/>
            <w:right w:w="108" w:type="dxa"/>
          </w:tblCellMar>
        </w:tblPrEx>
        <w:trPr>
          <w:trHeight w:val="32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imes New Roman" w:hAnsi="Times New Roman" w:eastAsia="仿宋_GB2312"/>
                <w:szCs w:val="32"/>
              </w:rPr>
            </w:pPr>
          </w:p>
        </w:tc>
        <w:tc>
          <w:tcPr>
            <w:tcW w:w="2665" w:type="pct"/>
            <w:tcBorders>
              <w:top w:val="nil"/>
              <w:left w:val="nil"/>
              <w:bottom w:val="single" w:color="auto" w:sz="4"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VPN</w:t>
            </w:r>
            <w:r>
              <w:rPr>
                <w:rFonts w:asciiTheme="minorEastAsia" w:hAnsiTheme="minorEastAsia" w:eastAsiaTheme="minorEastAsia"/>
                <w:sz w:val="24"/>
                <w:szCs w:val="24"/>
                <w:lang w:eastAsia="zh-Hans"/>
              </w:rPr>
              <w:t>技术原理</w:t>
            </w:r>
          </w:p>
        </w:tc>
        <w:tc>
          <w:tcPr>
            <w:tcW w:w="1067" w:type="pct"/>
            <w:vMerge w:val="continue"/>
            <w:tcBorders>
              <w:top w:val="nil"/>
              <w:left w:val="single" w:color="auto" w:sz="4" w:space="0"/>
              <w:bottom w:val="single" w:color="000000" w:sz="8" w:space="0"/>
              <w:right w:val="single" w:color="auto" w:sz="8" w:space="0"/>
            </w:tcBorders>
            <w:vAlign w:val="center"/>
          </w:tcPr>
          <w:p>
            <w:pPr>
              <w:spacing w:line="560" w:lineRule="exact"/>
              <w:rPr>
                <w:rFonts w:asciiTheme="minorEastAsia" w:hAnsiTheme="minorEastAsia" w:eastAsiaTheme="minorEastAsia"/>
                <w:sz w:val="24"/>
                <w:szCs w:val="24"/>
                <w:lang w:eastAsia="zh-Hans"/>
              </w:rPr>
            </w:pPr>
          </w:p>
        </w:tc>
      </w:tr>
      <w:tr>
        <w:tblPrEx>
          <w:tblCellMar>
            <w:top w:w="0" w:type="dxa"/>
            <w:left w:w="108" w:type="dxa"/>
            <w:bottom w:w="0" w:type="dxa"/>
            <w:right w:w="108" w:type="dxa"/>
          </w:tblCellMar>
        </w:tblPrEx>
        <w:trPr>
          <w:trHeight w:val="340" w:hRule="atLeast"/>
          <w:jc w:val="center"/>
        </w:trPr>
        <w:tc>
          <w:tcPr>
            <w:tcW w:w="1268" w:type="pct"/>
            <w:vMerge w:val="continue"/>
            <w:tcBorders>
              <w:top w:val="nil"/>
              <w:left w:val="single" w:color="auto" w:sz="8" w:space="0"/>
              <w:bottom w:val="single" w:color="000000" w:sz="8" w:space="0"/>
              <w:right w:val="single" w:color="auto" w:sz="4" w:space="0"/>
            </w:tcBorders>
            <w:vAlign w:val="center"/>
          </w:tcPr>
          <w:p>
            <w:pPr>
              <w:spacing w:line="560" w:lineRule="exact"/>
              <w:rPr>
                <w:rFonts w:ascii="Times New Roman" w:hAnsi="Times New Roman" w:eastAsia="仿宋_GB2312"/>
                <w:szCs w:val="32"/>
              </w:rPr>
            </w:pPr>
          </w:p>
        </w:tc>
        <w:tc>
          <w:tcPr>
            <w:tcW w:w="2665" w:type="pct"/>
            <w:tcBorders>
              <w:top w:val="nil"/>
              <w:left w:val="nil"/>
              <w:bottom w:val="single" w:color="auto" w:sz="8" w:space="0"/>
              <w:right w:val="single" w:color="auto" w:sz="4" w:space="0"/>
            </w:tcBorders>
            <w:vAlign w:val="center"/>
          </w:tcPr>
          <w:p>
            <w:pPr>
              <w:spacing w:line="560" w:lineRule="exact"/>
              <w:rPr>
                <w:rFonts w:asciiTheme="minorEastAsia" w:hAnsiTheme="minorEastAsia" w:eastAsiaTheme="minorEastAsia"/>
                <w:sz w:val="24"/>
                <w:szCs w:val="24"/>
                <w:lang w:eastAsia="zh-Hans"/>
              </w:rPr>
            </w:pPr>
            <w:r>
              <w:rPr>
                <w:rFonts w:eastAsiaTheme="minorEastAsia"/>
                <w:sz w:val="24"/>
                <w:szCs w:val="24"/>
                <w:lang w:eastAsia="zh-Hans"/>
              </w:rPr>
              <w:t>GRE VPN</w:t>
            </w:r>
            <w:r>
              <w:rPr>
                <w:rFonts w:asciiTheme="minorEastAsia" w:hAnsiTheme="minorEastAsia" w:eastAsiaTheme="minorEastAsia"/>
                <w:sz w:val="24"/>
                <w:szCs w:val="24"/>
                <w:lang w:eastAsia="zh-Hans"/>
              </w:rPr>
              <w:t>技术</w:t>
            </w:r>
          </w:p>
        </w:tc>
        <w:tc>
          <w:tcPr>
            <w:tcW w:w="1067" w:type="pct"/>
            <w:vMerge w:val="continue"/>
            <w:tcBorders>
              <w:top w:val="nil"/>
              <w:left w:val="single" w:color="auto" w:sz="4" w:space="0"/>
              <w:bottom w:val="single" w:color="000000" w:sz="8" w:space="0"/>
              <w:right w:val="single" w:color="auto" w:sz="8" w:space="0"/>
            </w:tcBorders>
            <w:vAlign w:val="center"/>
          </w:tcPr>
          <w:p>
            <w:pPr>
              <w:spacing w:line="560" w:lineRule="exact"/>
              <w:rPr>
                <w:rFonts w:asciiTheme="minorEastAsia" w:hAnsiTheme="minorEastAsia" w:eastAsiaTheme="minorEastAsia"/>
                <w:sz w:val="24"/>
                <w:szCs w:val="24"/>
                <w:lang w:eastAsia="zh-Hans"/>
              </w:rPr>
            </w:pPr>
          </w:p>
        </w:tc>
      </w:tr>
    </w:tbl>
    <w:p>
      <w:pPr>
        <w:spacing w:line="360" w:lineRule="auto"/>
        <w:ind w:right="191" w:firstLine="800" w:firstLineChars="250"/>
        <w:jc w:val="both"/>
        <w:rPr>
          <w:rFonts w:eastAsia="方正仿宋_GB2312" w:cs="方正仿宋_GB2312"/>
          <w:kern w:val="2"/>
          <w:sz w:val="32"/>
          <w:szCs w:val="32"/>
        </w:rPr>
      </w:pPr>
    </w:p>
    <w:p>
      <w:pPr>
        <w:spacing w:line="360" w:lineRule="auto"/>
        <w:ind w:right="191" w:firstLine="803" w:firstLineChars="250"/>
        <w:jc w:val="both"/>
        <w:rPr>
          <w:rFonts w:hint="eastAsia" w:eastAsia="方正仿宋_GB2312" w:cs="方正仿宋_GB2312"/>
          <w:kern w:val="2"/>
          <w:sz w:val="32"/>
          <w:szCs w:val="32"/>
          <w:lang w:val="en-US" w:eastAsia="zh-CN"/>
        </w:rPr>
      </w:pPr>
      <w:r>
        <w:rPr>
          <w:rFonts w:hint="eastAsia" w:eastAsia="方正仿宋_GB2312" w:cs="方正仿宋_GB2312"/>
          <w:b/>
          <w:bCs/>
          <w:kern w:val="2"/>
          <w:sz w:val="32"/>
          <w:szCs w:val="32"/>
        </w:rPr>
        <w:t>企业数字化转型高管班:</w:t>
      </w:r>
      <w:r>
        <w:rPr>
          <w:rFonts w:hint="eastAsia" w:eastAsia="方正仿宋_GB2312" w:cs="方正仿宋_GB2312"/>
          <w:kern w:val="2"/>
          <w:sz w:val="32"/>
          <w:szCs w:val="32"/>
        </w:rPr>
        <w:t>让江门市制造业企业管理人员更加了解如何进行企业数字化转型以及数字化转型的最新技术。帮助企业管理者理清思路，更好的在全面数字化转型中找到自己企业的定位</w:t>
      </w:r>
      <w:r>
        <w:rPr>
          <w:rFonts w:hint="eastAsia" w:ascii="Arial" w:hAnsi="Arial" w:eastAsia="方正仿宋_GB2312" w:cs="方正仿宋_GB2312"/>
          <w:kern w:val="2"/>
          <w:sz w:val="32"/>
          <w:szCs w:val="32"/>
        </w:rPr>
        <w:t>。</w:t>
      </w:r>
    </w:p>
    <w:tbl>
      <w:tblPr>
        <w:tblStyle w:val="5"/>
        <w:tblW w:w="4907" w:type="pct"/>
        <w:jc w:val="center"/>
        <w:tblLayout w:type="autofit"/>
        <w:tblCellMar>
          <w:top w:w="0" w:type="dxa"/>
          <w:left w:w="108" w:type="dxa"/>
          <w:bottom w:w="0" w:type="dxa"/>
          <w:right w:w="108" w:type="dxa"/>
        </w:tblCellMar>
      </w:tblPr>
      <w:tblGrid>
        <w:gridCol w:w="2553"/>
        <w:gridCol w:w="5368"/>
        <w:gridCol w:w="1850"/>
      </w:tblGrid>
      <w:tr>
        <w:tblPrEx>
          <w:tblCellMar>
            <w:top w:w="0" w:type="dxa"/>
            <w:left w:w="108" w:type="dxa"/>
            <w:bottom w:w="0" w:type="dxa"/>
            <w:right w:w="108" w:type="dxa"/>
          </w:tblCellMar>
        </w:tblPrEx>
        <w:trPr>
          <w:trHeight w:val="523" w:hRule="atLeast"/>
          <w:tblHeader/>
          <w:jc w:val="center"/>
        </w:trPr>
        <w:tc>
          <w:tcPr>
            <w:tcW w:w="1306" w:type="pct"/>
            <w:tcBorders>
              <w:top w:val="single" w:color="auto" w:sz="4" w:space="0"/>
              <w:left w:val="single" w:color="auto" w:sz="4" w:space="0"/>
              <w:bottom w:val="single" w:color="auto" w:sz="4" w:space="0"/>
              <w:right w:val="single" w:color="auto" w:sz="4" w:space="0"/>
            </w:tcBorders>
            <w:shd w:val="clear" w:color="000000" w:fill="D9D9D9"/>
            <w:noWrap w:val="0"/>
            <w:vAlign w:val="center"/>
          </w:tcPr>
          <w:p>
            <w:pPr>
              <w:widowControl/>
              <w:jc w:val="center"/>
              <w:rPr>
                <w:rFonts w:hint="eastAsia" w:ascii="Arial" w:hAnsi="Arial" w:eastAsia="宋体" w:cs="Arial"/>
                <w:b/>
                <w:kern w:val="0"/>
                <w:sz w:val="22"/>
                <w:szCs w:val="22"/>
                <w:lang w:val="en-US" w:eastAsia="zh-CN"/>
              </w:rPr>
            </w:pPr>
            <w:r>
              <w:rPr>
                <w:rFonts w:hint="eastAsia" w:ascii="Arial" w:hAnsi="Arial" w:eastAsia="宋体" w:cs="Arial"/>
                <w:b/>
                <w:kern w:val="0"/>
                <w:sz w:val="22"/>
                <w:szCs w:val="22"/>
              </w:rPr>
              <w:t>培训主题</w:t>
            </w:r>
            <w:r>
              <w:rPr>
                <w:rFonts w:hint="eastAsia" w:ascii="Arial" w:hAnsi="Arial" w:eastAsia="宋体" w:cs="Arial"/>
                <w:b/>
                <w:kern w:val="0"/>
                <w:sz w:val="22"/>
                <w:szCs w:val="22"/>
                <w:lang w:val="en-US" w:eastAsia="zh-CN"/>
              </w:rPr>
              <w:t>一</w:t>
            </w:r>
          </w:p>
          <w:p>
            <w:pPr>
              <w:widowControl/>
              <w:jc w:val="center"/>
              <w:rPr>
                <w:rFonts w:hint="eastAsia" w:ascii="Arial" w:hAnsi="Arial" w:eastAsia="宋体" w:cs="Arial"/>
                <w:b/>
                <w:kern w:val="0"/>
                <w:sz w:val="22"/>
                <w:szCs w:val="22"/>
                <w:lang w:val="en-US" w:eastAsia="zh-CN"/>
              </w:rPr>
            </w:pPr>
            <w:r>
              <w:rPr>
                <w:rFonts w:hint="eastAsia" w:ascii="Arial" w:hAnsi="Arial" w:eastAsia="宋体" w:cs="Arial"/>
                <w:b/>
                <w:kern w:val="0"/>
                <w:sz w:val="22"/>
                <w:szCs w:val="22"/>
              </w:rPr>
              <w:t>企业数字化转型</w:t>
            </w:r>
          </w:p>
        </w:tc>
        <w:tc>
          <w:tcPr>
            <w:tcW w:w="2746" w:type="pct"/>
            <w:tcBorders>
              <w:top w:val="single" w:color="auto" w:sz="4" w:space="0"/>
              <w:left w:val="single" w:color="auto" w:sz="4" w:space="0"/>
              <w:bottom w:val="single" w:color="auto" w:sz="4" w:space="0"/>
              <w:right w:val="single" w:color="auto" w:sz="4" w:space="0"/>
            </w:tcBorders>
            <w:shd w:val="clear" w:color="000000" w:fill="D9D9D9"/>
            <w:noWrap w:val="0"/>
            <w:vAlign w:val="center"/>
          </w:tcPr>
          <w:p>
            <w:pPr>
              <w:widowControl/>
              <w:jc w:val="center"/>
              <w:rPr>
                <w:rFonts w:hint="eastAsia" w:ascii="Arial" w:hAnsi="Arial" w:eastAsia="宋体" w:cs="Arial"/>
                <w:b/>
                <w:kern w:val="0"/>
                <w:sz w:val="22"/>
                <w:szCs w:val="22"/>
              </w:rPr>
            </w:pPr>
            <w:r>
              <w:rPr>
                <w:rFonts w:hint="eastAsia" w:ascii="Arial" w:hAnsi="Arial" w:eastAsia="宋体" w:cs="Arial"/>
                <w:b/>
                <w:kern w:val="0"/>
                <w:sz w:val="22"/>
                <w:szCs w:val="22"/>
              </w:rPr>
              <w:t>课程内容</w:t>
            </w:r>
          </w:p>
        </w:tc>
        <w:tc>
          <w:tcPr>
            <w:tcW w:w="946" w:type="pct"/>
            <w:tcBorders>
              <w:top w:val="single" w:color="auto" w:sz="4" w:space="0"/>
              <w:left w:val="single" w:color="auto" w:sz="4" w:space="0"/>
              <w:bottom w:val="single" w:color="auto" w:sz="4" w:space="0"/>
              <w:right w:val="single" w:color="auto" w:sz="4" w:space="0"/>
            </w:tcBorders>
            <w:shd w:val="clear" w:color="000000" w:fill="D9D9D9"/>
            <w:noWrap w:val="0"/>
            <w:vAlign w:val="center"/>
          </w:tcPr>
          <w:p>
            <w:pPr>
              <w:widowControl/>
              <w:jc w:val="center"/>
              <w:rPr>
                <w:rFonts w:hint="eastAsia" w:ascii="Arial" w:hAnsi="Arial" w:eastAsia="宋体" w:cs="Arial"/>
                <w:b/>
                <w:kern w:val="0"/>
                <w:sz w:val="22"/>
                <w:szCs w:val="22"/>
              </w:rPr>
            </w:pPr>
            <w:r>
              <w:rPr>
                <w:rFonts w:hint="eastAsia" w:ascii="Arial" w:hAnsi="Arial" w:eastAsia="宋体" w:cs="Arial"/>
                <w:b/>
                <w:kern w:val="0"/>
                <w:sz w:val="22"/>
                <w:szCs w:val="22"/>
              </w:rPr>
              <w:t>教学方式</w:t>
            </w:r>
          </w:p>
        </w:tc>
      </w:tr>
      <w:tr>
        <w:tblPrEx>
          <w:tblCellMar>
            <w:top w:w="0" w:type="dxa"/>
            <w:left w:w="108" w:type="dxa"/>
            <w:bottom w:w="0" w:type="dxa"/>
            <w:right w:w="108" w:type="dxa"/>
          </w:tblCellMar>
        </w:tblPrEx>
        <w:trPr>
          <w:trHeight w:val="170" w:hRule="atLeast"/>
          <w:jc w:val="center"/>
        </w:trPr>
        <w:tc>
          <w:tcPr>
            <w:tcW w:w="1306" w:type="pct"/>
            <w:vMerge w:val="restar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中国民营企业发展历程</w:t>
            </w: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both"/>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中国民营企业成功因素</w:t>
            </w:r>
          </w:p>
        </w:tc>
        <w:tc>
          <w:tcPr>
            <w:tcW w:w="94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r>
              <w:rPr>
                <w:rFonts w:hint="eastAsia" w:ascii="Arial" w:hAnsi="Arial" w:eastAsia="宋体" w:cs="Arial"/>
                <w:color w:val="000000"/>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中国民营企业发展道路</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中国民营企业面临的经营压力</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中国民营企业转型的紧迫性</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restar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数字化转型的特点</w:t>
            </w: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转型的难点</w:t>
            </w:r>
          </w:p>
        </w:tc>
        <w:tc>
          <w:tcPr>
            <w:tcW w:w="94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r>
              <w:rPr>
                <w:rFonts w:hint="eastAsia" w:ascii="Arial" w:hAnsi="Arial" w:eastAsia="宋体" w:cs="Arial"/>
                <w:color w:val="000000"/>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经营模式的变化</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经营模式的发展趋势</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restar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数字化对销售的影响</w:t>
            </w: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新零售与传统零售的差别</w:t>
            </w:r>
          </w:p>
        </w:tc>
        <w:tc>
          <w:tcPr>
            <w:tcW w:w="94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r>
              <w:rPr>
                <w:rFonts w:hint="eastAsia" w:ascii="Arial" w:hAnsi="Arial" w:eastAsia="宋体" w:cs="Arial"/>
                <w:color w:val="000000"/>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线下零售与线上零售的差别</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O2O的运营特点</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智慧门店的要素</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restar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数字化对制造的影响</w:t>
            </w: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标准化与数字化的关系</w:t>
            </w:r>
          </w:p>
        </w:tc>
        <w:tc>
          <w:tcPr>
            <w:tcW w:w="94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r>
              <w:rPr>
                <w:rFonts w:hint="eastAsia" w:ascii="Arial" w:hAnsi="Arial" w:eastAsia="宋体" w:cs="Arial"/>
                <w:color w:val="000000"/>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数字化与自动化的关系</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制造标准化的进化路径</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制造流程的改善</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数字化车间的要素</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restar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数字经济</w:t>
            </w: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数字经济产业化与产业经济数字化</w:t>
            </w:r>
          </w:p>
        </w:tc>
        <w:tc>
          <w:tcPr>
            <w:tcW w:w="94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r>
              <w:rPr>
                <w:rFonts w:hint="eastAsia" w:ascii="Arial" w:hAnsi="Arial" w:eastAsia="宋体" w:cs="Arial"/>
                <w:color w:val="000000"/>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工业化产业发展路径</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restar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数字化与信息化</w:t>
            </w: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数字化与信息化的比较</w:t>
            </w:r>
          </w:p>
        </w:tc>
        <w:tc>
          <w:tcPr>
            <w:tcW w:w="94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z w:val="24"/>
                <w:szCs w:val="24"/>
              </w:rPr>
            </w:pPr>
            <w:r>
              <w:rPr>
                <w:rFonts w:hint="eastAsia" w:ascii="Arial" w:hAnsi="Arial" w:eastAsia="宋体" w:cs="Arial"/>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数字化投资与信息化投资的比较</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数字化与信息化的关系</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企业实施数字化与信息化的差异</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信息系统项目与数字系统项目的区别</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z w:val="24"/>
                <w:szCs w:val="24"/>
              </w:rPr>
            </w:pPr>
          </w:p>
        </w:tc>
      </w:tr>
      <w:tr>
        <w:tblPrEx>
          <w:tblCellMar>
            <w:top w:w="0" w:type="dxa"/>
            <w:left w:w="108" w:type="dxa"/>
            <w:bottom w:w="0" w:type="dxa"/>
            <w:right w:w="108" w:type="dxa"/>
          </w:tblCellMar>
        </w:tblPrEx>
        <w:trPr>
          <w:trHeight w:val="170" w:hRule="atLeast"/>
          <w:jc w:val="center"/>
        </w:trPr>
        <w:tc>
          <w:tcPr>
            <w:tcW w:w="1306" w:type="pct"/>
            <w:vMerge w:val="restar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数字化的重要技术应用</w:t>
            </w: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中台应用</w:t>
            </w:r>
          </w:p>
        </w:tc>
        <w:tc>
          <w:tcPr>
            <w:tcW w:w="94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z w:val="24"/>
                <w:szCs w:val="24"/>
              </w:rPr>
            </w:pPr>
            <w:r>
              <w:rPr>
                <w:rFonts w:hint="eastAsia" w:ascii="Arial" w:hAnsi="Arial" w:eastAsia="宋体" w:cs="Arial"/>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人工智能应用</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区块链应用</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公有云</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sz w:val="24"/>
                <w:szCs w:val="24"/>
              </w:rPr>
            </w:pPr>
          </w:p>
        </w:tc>
      </w:tr>
      <w:tr>
        <w:tblPrEx>
          <w:tblCellMar>
            <w:top w:w="0" w:type="dxa"/>
            <w:left w:w="108" w:type="dxa"/>
            <w:bottom w:w="0" w:type="dxa"/>
            <w:right w:w="108" w:type="dxa"/>
          </w:tblCellMar>
        </w:tblPrEx>
        <w:trPr>
          <w:trHeight w:val="170" w:hRule="atLeast"/>
          <w:jc w:val="center"/>
        </w:trPr>
        <w:tc>
          <w:tcPr>
            <w:tcW w:w="1306" w:type="pct"/>
            <w:vMerge w:val="restar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数字化项目实施</w:t>
            </w: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数字化项目实施战略</w:t>
            </w:r>
          </w:p>
        </w:tc>
        <w:tc>
          <w:tcPr>
            <w:tcW w:w="94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kern w:val="0"/>
                <w:sz w:val="24"/>
                <w:szCs w:val="24"/>
              </w:rPr>
            </w:pPr>
            <w:r>
              <w:rPr>
                <w:rFonts w:hint="eastAsia" w:ascii="Arial" w:hAnsi="Arial" w:eastAsia="宋体" w:cs="Arial"/>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数字化项目实施策略</w:t>
            </w:r>
          </w:p>
        </w:tc>
        <w:tc>
          <w:tcPr>
            <w:tcW w:w="946" w:type="pct"/>
            <w:vMerge w:val="continue"/>
            <w:tcBorders>
              <w:top w:val="single" w:color="auto" w:sz="4" w:space="0"/>
              <w:left w:val="single" w:color="auto" w:sz="4" w:space="0"/>
              <w:right w:val="single" w:color="auto" w:sz="4" w:space="0"/>
            </w:tcBorders>
            <w:noWrap w:val="0"/>
            <w:vAlign w:val="center"/>
          </w:tcPr>
          <w:p>
            <w:pPr>
              <w:widowControl/>
              <w:spacing w:line="560" w:lineRule="exact"/>
              <w:jc w:val="center"/>
              <w:rPr>
                <w:rFonts w:hint="eastAsia" w:ascii="Arial" w:hAnsi="Arial" w:eastAsia="宋体" w:cs="Arial"/>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left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企业数字化全景图</w:t>
            </w:r>
          </w:p>
        </w:tc>
        <w:tc>
          <w:tcPr>
            <w:tcW w:w="946" w:type="pct"/>
            <w:vMerge w:val="continue"/>
            <w:tcBorders>
              <w:left w:val="single" w:color="auto" w:sz="4" w:space="0"/>
              <w:right w:val="single" w:color="auto" w:sz="4" w:space="0"/>
            </w:tcBorders>
            <w:noWrap w:val="0"/>
            <w:vAlign w:val="center"/>
          </w:tcPr>
          <w:p>
            <w:pPr>
              <w:widowControl/>
              <w:spacing w:line="560" w:lineRule="exact"/>
              <w:jc w:val="center"/>
              <w:rPr>
                <w:rFonts w:hint="eastAsia" w:ascii="Arial" w:hAnsi="Arial" w:eastAsia="宋体" w:cs="Arial"/>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Arial" w:hAnsi="Arial" w:eastAsia="宋体" w:cs="Arial"/>
                <w:snapToGrid w:val="0"/>
                <w:color w:val="000000"/>
                <w:kern w:val="0"/>
                <w:sz w:val="24"/>
                <w:szCs w:val="24"/>
                <w:lang w:val="en-US" w:eastAsia="zh-CN" w:bidi="ar-SA"/>
              </w:rPr>
            </w:pPr>
            <w:r>
              <w:rPr>
                <w:rFonts w:hint="eastAsia" w:ascii="Arial" w:hAnsi="Arial" w:eastAsia="宋体" w:cs="Arial"/>
                <w:snapToGrid w:val="0"/>
                <w:color w:val="000000"/>
                <w:kern w:val="0"/>
                <w:sz w:val="24"/>
                <w:szCs w:val="24"/>
                <w:lang w:val="en-US" w:eastAsia="zh-CN" w:bidi="ar-SA"/>
              </w:rPr>
              <w:t>IT团队变革</w:t>
            </w:r>
          </w:p>
        </w:tc>
        <w:tc>
          <w:tcPr>
            <w:tcW w:w="946" w:type="pct"/>
            <w:vMerge w:val="continue"/>
            <w:tcBorders>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Arial" w:hAnsi="Arial" w:eastAsia="宋体" w:cs="Arial"/>
                <w:kern w:val="0"/>
                <w:sz w:val="24"/>
                <w:szCs w:val="24"/>
              </w:rPr>
            </w:pPr>
          </w:p>
        </w:tc>
      </w:tr>
    </w:tbl>
    <w:p>
      <w:pPr>
        <w:spacing w:line="360" w:lineRule="auto"/>
        <w:ind w:right="191" w:firstLine="800" w:firstLineChars="250"/>
        <w:jc w:val="both"/>
        <w:rPr>
          <w:rFonts w:hint="eastAsia" w:eastAsia="方正仿宋_GB2312" w:cs="方正仿宋_GB2312"/>
          <w:kern w:val="2"/>
          <w:sz w:val="32"/>
          <w:szCs w:val="32"/>
        </w:rPr>
      </w:pPr>
    </w:p>
    <w:p>
      <w:pPr>
        <w:spacing w:line="360" w:lineRule="auto"/>
        <w:ind w:right="191" w:firstLine="800" w:firstLineChars="250"/>
        <w:jc w:val="both"/>
        <w:rPr>
          <w:rFonts w:hint="eastAsia" w:eastAsia="方正仿宋_GB2312" w:cs="方正仿宋_GB2312"/>
          <w:kern w:val="2"/>
          <w:sz w:val="32"/>
          <w:szCs w:val="32"/>
        </w:rPr>
      </w:pPr>
    </w:p>
    <w:tbl>
      <w:tblPr>
        <w:tblStyle w:val="5"/>
        <w:tblW w:w="4907" w:type="pct"/>
        <w:jc w:val="center"/>
        <w:tblLayout w:type="autofit"/>
        <w:tblCellMar>
          <w:top w:w="0" w:type="dxa"/>
          <w:left w:w="108" w:type="dxa"/>
          <w:bottom w:w="0" w:type="dxa"/>
          <w:right w:w="108" w:type="dxa"/>
        </w:tblCellMar>
      </w:tblPr>
      <w:tblGrid>
        <w:gridCol w:w="2553"/>
        <w:gridCol w:w="5368"/>
        <w:gridCol w:w="1850"/>
      </w:tblGrid>
      <w:tr>
        <w:tblPrEx>
          <w:tblCellMar>
            <w:top w:w="0" w:type="dxa"/>
            <w:left w:w="108" w:type="dxa"/>
            <w:bottom w:w="0" w:type="dxa"/>
            <w:right w:w="108" w:type="dxa"/>
          </w:tblCellMar>
        </w:tblPrEx>
        <w:trPr>
          <w:trHeight w:val="523" w:hRule="atLeast"/>
          <w:tblHeader/>
          <w:jc w:val="center"/>
        </w:trPr>
        <w:tc>
          <w:tcPr>
            <w:tcW w:w="1306" w:type="pct"/>
            <w:tcBorders>
              <w:top w:val="single" w:color="auto" w:sz="4" w:space="0"/>
              <w:left w:val="single" w:color="auto" w:sz="4" w:space="0"/>
              <w:bottom w:val="single" w:color="auto" w:sz="4" w:space="0"/>
              <w:right w:val="single" w:color="auto" w:sz="4" w:space="0"/>
            </w:tcBorders>
            <w:shd w:val="clear" w:color="000000" w:fill="D9D9D9"/>
            <w:noWrap w:val="0"/>
            <w:vAlign w:val="center"/>
          </w:tcPr>
          <w:p>
            <w:pPr>
              <w:widowControl/>
              <w:jc w:val="center"/>
              <w:rPr>
                <w:rFonts w:hint="eastAsia" w:ascii="宋体" w:hAnsi="宋体" w:eastAsia="宋体" w:cs="宋体"/>
                <w:b/>
                <w:kern w:val="0"/>
                <w:sz w:val="22"/>
                <w:szCs w:val="22"/>
                <w:lang w:val="en-US" w:eastAsia="zh-CN"/>
              </w:rPr>
            </w:pPr>
            <w:r>
              <w:rPr>
                <w:rFonts w:hint="eastAsia" w:ascii="宋体" w:hAnsi="宋体" w:eastAsia="宋体" w:cs="宋体"/>
                <w:b/>
                <w:kern w:val="0"/>
                <w:sz w:val="22"/>
                <w:szCs w:val="22"/>
              </w:rPr>
              <w:t>培训主题</w:t>
            </w:r>
            <w:r>
              <w:rPr>
                <w:rFonts w:hint="eastAsia" w:ascii="宋体" w:hAnsi="宋体" w:eastAsia="宋体" w:cs="宋体"/>
                <w:b/>
                <w:kern w:val="0"/>
                <w:sz w:val="22"/>
                <w:szCs w:val="22"/>
                <w:lang w:val="en-US" w:eastAsia="zh-CN"/>
              </w:rPr>
              <w:t>二</w:t>
            </w:r>
          </w:p>
          <w:p>
            <w:pPr>
              <w:widowControl/>
              <w:jc w:val="center"/>
              <w:rPr>
                <w:rFonts w:hint="eastAsia" w:ascii="宋体" w:hAnsi="宋体" w:eastAsia="宋体" w:cs="宋体"/>
                <w:b/>
                <w:kern w:val="0"/>
                <w:sz w:val="22"/>
                <w:szCs w:val="22"/>
                <w:lang w:val="en-US" w:eastAsia="zh-CN"/>
              </w:rPr>
            </w:pPr>
            <w:r>
              <w:rPr>
                <w:rFonts w:hint="eastAsia" w:ascii="宋体" w:hAnsi="宋体" w:eastAsia="宋体" w:cs="宋体"/>
                <w:b/>
                <w:kern w:val="0"/>
                <w:sz w:val="22"/>
                <w:szCs w:val="22"/>
              </w:rPr>
              <w:t>企业精益管理与数字化</w:t>
            </w:r>
          </w:p>
        </w:tc>
        <w:tc>
          <w:tcPr>
            <w:tcW w:w="2746" w:type="pct"/>
            <w:tcBorders>
              <w:top w:val="single" w:color="auto" w:sz="4" w:space="0"/>
              <w:left w:val="single" w:color="auto" w:sz="4" w:space="0"/>
              <w:bottom w:val="single" w:color="auto" w:sz="4" w:space="0"/>
              <w:right w:val="single" w:color="auto" w:sz="4" w:space="0"/>
            </w:tcBorders>
            <w:shd w:val="clear" w:color="000000" w:fill="D9D9D9"/>
            <w:noWrap w:val="0"/>
            <w:vAlign w:val="center"/>
          </w:tcPr>
          <w:p>
            <w:pPr>
              <w:widowControl/>
              <w:jc w:val="center"/>
              <w:rPr>
                <w:rFonts w:hint="eastAsia" w:ascii="宋体" w:hAnsi="宋体" w:eastAsia="宋体" w:cs="宋体"/>
                <w:b/>
                <w:kern w:val="0"/>
                <w:sz w:val="22"/>
                <w:szCs w:val="22"/>
              </w:rPr>
            </w:pPr>
            <w:r>
              <w:rPr>
                <w:rFonts w:hint="eastAsia" w:ascii="宋体" w:hAnsi="宋体" w:eastAsia="宋体" w:cs="宋体"/>
                <w:b/>
                <w:kern w:val="0"/>
                <w:sz w:val="22"/>
                <w:szCs w:val="22"/>
              </w:rPr>
              <w:t>课程内容</w:t>
            </w:r>
          </w:p>
        </w:tc>
        <w:tc>
          <w:tcPr>
            <w:tcW w:w="946" w:type="pct"/>
            <w:tcBorders>
              <w:top w:val="single" w:color="auto" w:sz="4" w:space="0"/>
              <w:left w:val="single" w:color="auto" w:sz="4" w:space="0"/>
              <w:bottom w:val="single" w:color="auto" w:sz="4" w:space="0"/>
              <w:right w:val="single" w:color="auto" w:sz="4" w:space="0"/>
            </w:tcBorders>
            <w:shd w:val="clear" w:color="000000" w:fill="D9D9D9"/>
            <w:noWrap w:val="0"/>
            <w:vAlign w:val="center"/>
          </w:tcPr>
          <w:p>
            <w:pPr>
              <w:widowControl/>
              <w:jc w:val="center"/>
              <w:rPr>
                <w:rFonts w:hint="eastAsia" w:ascii="宋体" w:hAnsi="宋体" w:eastAsia="宋体" w:cs="宋体"/>
                <w:b/>
                <w:kern w:val="0"/>
                <w:sz w:val="22"/>
                <w:szCs w:val="22"/>
              </w:rPr>
            </w:pPr>
            <w:r>
              <w:rPr>
                <w:rFonts w:hint="eastAsia" w:ascii="宋体" w:hAnsi="宋体" w:eastAsia="宋体" w:cs="宋体"/>
                <w:b/>
                <w:kern w:val="0"/>
                <w:sz w:val="22"/>
                <w:szCs w:val="22"/>
              </w:rPr>
              <w:t>教学方式</w:t>
            </w:r>
          </w:p>
        </w:tc>
      </w:tr>
      <w:tr>
        <w:tblPrEx>
          <w:tblCellMar>
            <w:top w:w="0" w:type="dxa"/>
            <w:left w:w="108" w:type="dxa"/>
            <w:bottom w:w="0" w:type="dxa"/>
            <w:right w:w="108" w:type="dxa"/>
          </w:tblCellMar>
        </w:tblPrEx>
        <w:trPr>
          <w:trHeight w:val="170" w:hRule="atLeast"/>
          <w:jc w:val="center"/>
        </w:trPr>
        <w:tc>
          <w:tcPr>
            <w:tcW w:w="1306" w:type="pc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准时制与拉式原则</w:t>
            </w: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left"/>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准时制与拉式原则</w:t>
            </w:r>
          </w:p>
        </w:tc>
        <w:tc>
          <w:tcPr>
            <w:tcW w:w="9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restar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宋体" w:hAnsi="宋体" w:eastAsia="宋体" w:cs="宋体"/>
                <w:snapToGrid w:val="0"/>
                <w:color w:val="000000"/>
                <w:kern w:val="0"/>
                <w:sz w:val="24"/>
                <w:szCs w:val="24"/>
                <w:lang w:val="en-US" w:eastAsia="zh-CN" w:bidi="ar-SA"/>
              </w:rPr>
            </w:pPr>
            <w:r>
              <w:rPr>
                <w:rFonts w:hint="default" w:ascii="Arial" w:hAnsi="Arial" w:eastAsia="宋体" w:cs="Arial"/>
                <w:snapToGrid w:val="0"/>
                <w:color w:val="000000"/>
                <w:kern w:val="0"/>
                <w:sz w:val="24"/>
                <w:szCs w:val="24"/>
                <w:lang w:val="en-US" w:eastAsia="zh-CN" w:bidi="ar-SA"/>
              </w:rPr>
              <w:t>JIT</w:t>
            </w:r>
            <w:r>
              <w:rPr>
                <w:rFonts w:hint="eastAsia" w:ascii="宋体" w:hAnsi="宋体" w:eastAsia="宋体" w:cs="宋体"/>
                <w:snapToGrid w:val="0"/>
                <w:color w:val="000000"/>
                <w:kern w:val="0"/>
                <w:sz w:val="24"/>
                <w:szCs w:val="24"/>
                <w:lang w:val="en-US" w:eastAsia="zh-CN" w:bidi="ar-SA"/>
              </w:rPr>
              <w:t>原则</w:t>
            </w: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零库存</w:t>
            </w:r>
          </w:p>
        </w:tc>
        <w:tc>
          <w:tcPr>
            <w:tcW w:w="94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both"/>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零距离</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both"/>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零缺陷</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restar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车间精益</w:t>
            </w:r>
          </w:p>
          <w:p>
            <w:pPr>
              <w:pStyle w:val="9"/>
              <w:numPr>
                <w:ilvl w:val="0"/>
                <w:numId w:val="0"/>
              </w:numPr>
              <w:ind w:leftChars="0"/>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流程优化</w:t>
            </w:r>
          </w:p>
        </w:tc>
        <w:tc>
          <w:tcPr>
            <w:tcW w:w="94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both"/>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布局优化</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both"/>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作业优化</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both"/>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在制品优化</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节拍优化</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both"/>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齐套性优化</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both"/>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配送能力优化</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both"/>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容器优化</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restar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优化方法</w:t>
            </w: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指标设定</w:t>
            </w:r>
          </w:p>
        </w:tc>
        <w:tc>
          <w:tcPr>
            <w:tcW w:w="94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both"/>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工艺标准化</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color w:val="000000"/>
                <w:kern w:val="0"/>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作业可视化</w:t>
            </w:r>
          </w:p>
        </w:tc>
        <w:tc>
          <w:tcPr>
            <w:tcW w:w="94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z w:val="24"/>
                <w:szCs w:val="24"/>
              </w:rPr>
            </w:pPr>
            <w:r>
              <w:rPr>
                <w:rFonts w:hint="eastAsia" w:ascii="宋体" w:hAnsi="宋体" w:eastAsia="宋体" w:cs="宋体"/>
                <w:kern w:val="0"/>
                <w:sz w:val="24"/>
                <w:szCs w:val="24"/>
              </w:rPr>
              <w:t>理论授课</w:t>
            </w: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both"/>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偏差快速度量与预警</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z w:val="24"/>
                <w:szCs w:val="24"/>
              </w:rPr>
            </w:pPr>
          </w:p>
        </w:tc>
      </w:tr>
      <w:tr>
        <w:tblPrEx>
          <w:tblCellMar>
            <w:top w:w="0" w:type="dxa"/>
            <w:left w:w="108" w:type="dxa"/>
            <w:bottom w:w="0" w:type="dxa"/>
            <w:right w:w="108" w:type="dxa"/>
          </w:tblCellMar>
        </w:tblPrEx>
        <w:trPr>
          <w:trHeight w:val="170" w:hRule="atLeast"/>
          <w:jc w:val="center"/>
        </w:trPr>
        <w:tc>
          <w:tcPr>
            <w:tcW w:w="130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napToGrid w:val="0"/>
                <w:color w:val="000000"/>
                <w:kern w:val="0"/>
                <w:sz w:val="24"/>
                <w:szCs w:val="24"/>
                <w:lang w:val="en-US" w:eastAsia="zh-CN" w:bidi="ar-SA"/>
              </w:rPr>
            </w:pPr>
          </w:p>
        </w:tc>
        <w:tc>
          <w:tcPr>
            <w:tcW w:w="27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both"/>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持续改善</w:t>
            </w:r>
          </w:p>
        </w:tc>
        <w:tc>
          <w:tcPr>
            <w:tcW w:w="94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z w:val="24"/>
                <w:szCs w:val="24"/>
              </w:rPr>
            </w:pPr>
          </w:p>
        </w:tc>
      </w:tr>
      <w:tr>
        <w:tblPrEx>
          <w:tblCellMar>
            <w:top w:w="0" w:type="dxa"/>
            <w:left w:w="108" w:type="dxa"/>
            <w:bottom w:w="0" w:type="dxa"/>
            <w:right w:w="108" w:type="dxa"/>
          </w:tblCellMar>
        </w:tblPrEx>
        <w:trPr>
          <w:trHeight w:val="170" w:hRule="atLeast"/>
          <w:jc w:val="center"/>
        </w:trPr>
        <w:tc>
          <w:tcPr>
            <w:tcW w:w="1306" w:type="pct"/>
            <w:tcBorders>
              <w:top w:val="single" w:color="auto" w:sz="4" w:space="0"/>
              <w:left w:val="single" w:color="auto" w:sz="4" w:space="0"/>
              <w:bottom w:val="single" w:color="auto" w:sz="4" w:space="0"/>
              <w:right w:val="single" w:color="auto" w:sz="4" w:space="0"/>
            </w:tcBorders>
            <w:noWrap w:val="0"/>
            <w:vAlign w:val="center"/>
          </w:tcPr>
          <w:p>
            <w:pPr>
              <w:pStyle w:val="9"/>
              <w:numPr>
                <w:ilvl w:val="0"/>
                <w:numId w:val="0"/>
              </w:numPr>
              <w:ind w:leftChars="0"/>
              <w:jc w:val="center"/>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数字化系统支撑标准化</w:t>
            </w:r>
          </w:p>
        </w:tc>
        <w:tc>
          <w:tcPr>
            <w:tcW w:w="2746" w:type="pct"/>
            <w:tcBorders>
              <w:top w:val="single" w:color="auto" w:sz="4" w:space="0"/>
              <w:left w:val="single" w:color="auto" w:sz="4" w:space="0"/>
              <w:bottom w:val="single" w:color="auto" w:sz="4" w:space="0"/>
              <w:right w:val="single" w:color="auto" w:sz="4" w:space="0"/>
            </w:tcBorders>
            <w:noWrap w:val="0"/>
            <w:vAlign w:val="center"/>
          </w:tcPr>
          <w:p>
            <w:pPr>
              <w:pStyle w:val="9"/>
              <w:widowControl/>
              <w:numPr>
                <w:ilvl w:val="0"/>
                <w:numId w:val="0"/>
              </w:numPr>
              <w:spacing w:line="560" w:lineRule="exact"/>
              <w:jc w:val="left"/>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napToGrid w:val="0"/>
                <w:color w:val="000000"/>
                <w:kern w:val="0"/>
                <w:sz w:val="24"/>
                <w:szCs w:val="24"/>
                <w:lang w:val="en-US" w:eastAsia="zh-CN" w:bidi="ar-SA"/>
              </w:rPr>
              <w:t>数字化系统支撑标准化</w:t>
            </w:r>
          </w:p>
        </w:tc>
        <w:tc>
          <w:tcPr>
            <w:tcW w:w="946" w:type="pc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宋体" w:hAnsi="宋体" w:eastAsia="宋体" w:cs="宋体"/>
                <w:sz w:val="24"/>
                <w:szCs w:val="24"/>
              </w:rPr>
            </w:pPr>
            <w:r>
              <w:rPr>
                <w:rFonts w:hint="eastAsia" w:ascii="宋体" w:hAnsi="宋体" w:eastAsia="宋体" w:cs="宋体"/>
                <w:kern w:val="0"/>
                <w:sz w:val="24"/>
                <w:szCs w:val="24"/>
              </w:rPr>
              <w:t>理论授课</w:t>
            </w:r>
          </w:p>
        </w:tc>
      </w:tr>
    </w:tbl>
    <w:p>
      <w:pPr>
        <w:spacing w:line="360" w:lineRule="auto"/>
        <w:ind w:right="191" w:firstLine="600" w:firstLineChars="250"/>
        <w:jc w:val="both"/>
        <w:rPr>
          <w:rFonts w:asciiTheme="minorEastAsia" w:hAnsiTheme="minorEastAsia" w:eastAsiaTheme="minorEastAsia"/>
          <w:sz w:val="24"/>
          <w:szCs w:val="24"/>
          <w:lang w:eastAsia="zh-Hans"/>
        </w:rPr>
      </w:pPr>
    </w:p>
    <w:p>
      <w:pPr>
        <w:spacing w:line="360" w:lineRule="auto"/>
        <w:ind w:right="191" w:firstLine="800" w:firstLineChars="250"/>
        <w:jc w:val="both"/>
        <w:rPr>
          <w:rFonts w:hint="eastAsia" w:ascii="Arial" w:hAnsi="Arial" w:eastAsia="方正仿宋_GB2312" w:cs="方正仿宋_GB2312"/>
          <w:kern w:val="2"/>
          <w:sz w:val="32"/>
          <w:szCs w:val="32"/>
          <w:lang w:eastAsia="zh-Hans"/>
        </w:rPr>
      </w:pPr>
      <w:r>
        <w:rPr>
          <w:rFonts w:hint="eastAsia" w:ascii="Arial" w:hAnsi="Arial" w:eastAsia="方正仿宋_GB2312" w:cs="方正仿宋_GB2312"/>
          <w:kern w:val="2"/>
          <w:sz w:val="32"/>
          <w:szCs w:val="32"/>
          <w:lang w:val="en-US" w:eastAsia="zh-CN"/>
        </w:rPr>
        <w:t>（三）</w:t>
      </w:r>
      <w:r>
        <w:rPr>
          <w:rFonts w:hint="eastAsia" w:ascii="Arial" w:hAnsi="Arial" w:eastAsia="方正仿宋_GB2312" w:cs="方正仿宋_GB2312"/>
          <w:kern w:val="2"/>
          <w:sz w:val="32"/>
          <w:szCs w:val="32"/>
          <w:lang w:eastAsia="zh-Hans"/>
        </w:rPr>
        <w:t>培训导师</w:t>
      </w:r>
    </w:p>
    <w:tbl>
      <w:tblPr>
        <w:tblStyle w:val="5"/>
        <w:tblW w:w="5000" w:type="pct"/>
        <w:jc w:val="center"/>
        <w:tblLayout w:type="autofit"/>
        <w:tblCellMar>
          <w:top w:w="0" w:type="dxa"/>
          <w:left w:w="108" w:type="dxa"/>
          <w:bottom w:w="0" w:type="dxa"/>
          <w:right w:w="108" w:type="dxa"/>
        </w:tblCellMar>
      </w:tblPr>
      <w:tblGrid>
        <w:gridCol w:w="2448"/>
        <w:gridCol w:w="7508"/>
      </w:tblGrid>
      <w:tr>
        <w:tblPrEx>
          <w:tblCellMar>
            <w:top w:w="0" w:type="dxa"/>
            <w:left w:w="108" w:type="dxa"/>
            <w:bottom w:w="0" w:type="dxa"/>
            <w:right w:w="108" w:type="dxa"/>
          </w:tblCellMar>
        </w:tblPrEx>
        <w:trPr>
          <w:trHeight w:val="363" w:hRule="atLeast"/>
          <w:tblHeader/>
          <w:jc w:val="center"/>
        </w:trPr>
        <w:tc>
          <w:tcPr>
            <w:tcW w:w="1229" w:type="pct"/>
            <w:tcBorders>
              <w:top w:val="single" w:color="auto" w:sz="8" w:space="0"/>
              <w:left w:val="single" w:color="auto" w:sz="8" w:space="0"/>
              <w:bottom w:val="single" w:color="auto" w:sz="8" w:space="0"/>
              <w:right w:val="single" w:color="auto" w:sz="4" w:space="0"/>
            </w:tcBorders>
            <w:shd w:val="clear" w:color="000000" w:fill="D9D9D9"/>
            <w:vAlign w:val="center"/>
          </w:tcPr>
          <w:p>
            <w:pPr>
              <w:jc w:val="center"/>
              <w:rPr>
                <w:rFonts w:asciiTheme="majorEastAsia" w:hAnsiTheme="majorEastAsia" w:eastAsiaTheme="majorEastAsia"/>
                <w:b/>
                <w:bCs/>
                <w:sz w:val="22"/>
                <w:szCs w:val="22"/>
              </w:rPr>
            </w:pPr>
            <w:r>
              <w:rPr>
                <w:rFonts w:hint="eastAsia" w:asciiTheme="majorEastAsia" w:hAnsiTheme="majorEastAsia" w:eastAsiaTheme="majorEastAsia"/>
                <w:b/>
                <w:bCs/>
                <w:sz w:val="22"/>
                <w:szCs w:val="22"/>
              </w:rPr>
              <w:t>讲师</w:t>
            </w:r>
          </w:p>
        </w:tc>
        <w:tc>
          <w:tcPr>
            <w:tcW w:w="3770" w:type="pct"/>
            <w:tcBorders>
              <w:top w:val="single" w:color="auto" w:sz="8" w:space="0"/>
              <w:left w:val="nil"/>
              <w:bottom w:val="single" w:color="auto" w:sz="8" w:space="0"/>
              <w:right w:val="single" w:color="auto" w:sz="4" w:space="0"/>
            </w:tcBorders>
            <w:shd w:val="clear" w:color="000000" w:fill="D9D9D9"/>
            <w:vAlign w:val="center"/>
          </w:tcPr>
          <w:p>
            <w:pPr>
              <w:jc w:val="center"/>
              <w:rPr>
                <w:rFonts w:asciiTheme="majorEastAsia" w:hAnsiTheme="majorEastAsia" w:eastAsiaTheme="majorEastAsia"/>
                <w:b/>
                <w:bCs/>
                <w:sz w:val="22"/>
                <w:szCs w:val="22"/>
              </w:rPr>
            </w:pPr>
            <w:r>
              <w:rPr>
                <w:rFonts w:hint="eastAsia" w:asciiTheme="majorEastAsia" w:hAnsiTheme="majorEastAsia" w:eastAsiaTheme="majorEastAsia"/>
                <w:b/>
                <w:bCs/>
                <w:sz w:val="22"/>
                <w:szCs w:val="22"/>
              </w:rPr>
              <w:t>简介</w:t>
            </w:r>
          </w:p>
        </w:tc>
      </w:tr>
      <w:tr>
        <w:tblPrEx>
          <w:tblCellMar>
            <w:top w:w="0" w:type="dxa"/>
            <w:left w:w="108" w:type="dxa"/>
            <w:bottom w:w="0" w:type="dxa"/>
            <w:right w:w="108" w:type="dxa"/>
          </w:tblCellMar>
        </w:tblPrEx>
        <w:trPr>
          <w:trHeight w:val="320" w:hRule="atLeast"/>
          <w:jc w:val="center"/>
        </w:trPr>
        <w:tc>
          <w:tcPr>
            <w:tcW w:w="1229" w:type="pct"/>
            <w:tcBorders>
              <w:top w:val="single" w:color="auto" w:sz="8" w:space="0"/>
              <w:left w:val="single" w:color="auto" w:sz="8" w:space="0"/>
              <w:bottom w:val="single" w:color="auto" w:sz="8"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r>
              <w:rPr>
                <w:rFonts w:hint="eastAsia" w:asciiTheme="minorEastAsia" w:hAnsiTheme="minorEastAsia" w:eastAsiaTheme="minorEastAsia"/>
                <w:sz w:val="24"/>
                <w:szCs w:val="24"/>
                <w:lang w:eastAsia="zh-Hans"/>
              </w:rPr>
              <w:t>杨诚</w:t>
            </w:r>
          </w:p>
        </w:tc>
        <w:tc>
          <w:tcPr>
            <w:tcW w:w="3770" w:type="pct"/>
            <w:tcBorders>
              <w:top w:val="single" w:color="auto" w:sz="8" w:space="0"/>
              <w:left w:val="single" w:color="auto" w:sz="8" w:space="0"/>
              <w:bottom w:val="single" w:color="auto" w:sz="4" w:space="0"/>
              <w:right w:val="single" w:color="auto" w:sz="4" w:space="0"/>
            </w:tcBorders>
            <w:vAlign w:val="center"/>
          </w:tcPr>
          <w:p>
            <w:pPr>
              <w:pStyle w:val="2"/>
              <w:spacing w:before="0" w:after="0"/>
              <w:rPr>
                <w:rFonts w:asciiTheme="minorEastAsia" w:hAnsiTheme="minorEastAsia" w:eastAsiaTheme="minorEastAsia"/>
                <w:bCs w:val="0"/>
                <w:kern w:val="0"/>
                <w:sz w:val="24"/>
                <w:szCs w:val="24"/>
                <w:lang w:eastAsia="zh-Hans"/>
              </w:rPr>
            </w:pPr>
            <w:r>
              <w:rPr>
                <w:rFonts w:hint="eastAsia" w:asciiTheme="minorEastAsia" w:hAnsiTheme="minorEastAsia" w:eastAsiaTheme="minorEastAsia"/>
                <w:bCs w:val="0"/>
                <w:kern w:val="0"/>
                <w:sz w:val="24"/>
                <w:szCs w:val="24"/>
                <w:lang w:eastAsia="zh-Hans"/>
              </w:rPr>
              <w:t>数通 &amp; 物联网资深讲师</w:t>
            </w:r>
          </w:p>
          <w:p>
            <w:pPr>
              <w:spacing w:line="560" w:lineRule="exact"/>
              <w:rPr>
                <w:rFonts w:asciiTheme="minorEastAsia" w:hAnsiTheme="minorEastAsia" w:eastAsiaTheme="minorEastAsia"/>
                <w:sz w:val="24"/>
                <w:szCs w:val="24"/>
                <w:lang w:eastAsia="zh-Hans"/>
              </w:rPr>
            </w:pPr>
            <w:r>
              <w:rPr>
                <w:rFonts w:hint="eastAsia" w:asciiTheme="minorEastAsia" w:hAnsiTheme="minorEastAsia" w:eastAsiaTheme="minorEastAsia"/>
                <w:sz w:val="24"/>
                <w:szCs w:val="24"/>
                <w:lang w:eastAsia="zh-Hans"/>
              </w:rPr>
              <w:t>毕业于云南大学通信工程专业，现主要负责华为数通</w:t>
            </w:r>
            <w:r>
              <w:rPr>
                <w:rFonts w:hint="eastAsia" w:eastAsiaTheme="minorEastAsia"/>
                <w:sz w:val="24"/>
                <w:szCs w:val="24"/>
                <w:lang w:eastAsia="zh-Hans"/>
              </w:rPr>
              <w:t>HCIA</w:t>
            </w:r>
            <w:r>
              <w:rPr>
                <w:rFonts w:hint="eastAsia" w:asciiTheme="minorEastAsia" w:hAnsiTheme="minorEastAsia" w:eastAsiaTheme="minorEastAsia"/>
                <w:sz w:val="24"/>
                <w:szCs w:val="24"/>
                <w:lang w:eastAsia="zh-Hans"/>
              </w:rPr>
              <w:t>、</w:t>
            </w:r>
            <w:r>
              <w:rPr>
                <w:rFonts w:hint="eastAsia" w:eastAsiaTheme="minorEastAsia"/>
                <w:sz w:val="24"/>
                <w:szCs w:val="24"/>
                <w:lang w:eastAsia="zh-Hans"/>
              </w:rPr>
              <w:t>HCIP</w:t>
            </w:r>
            <w:r>
              <w:rPr>
                <w:rFonts w:hint="eastAsia" w:asciiTheme="minorEastAsia" w:hAnsiTheme="minorEastAsia" w:eastAsiaTheme="minorEastAsia"/>
                <w:sz w:val="24"/>
                <w:szCs w:val="24"/>
                <w:lang w:eastAsia="zh-Hans"/>
              </w:rPr>
              <w:t>、</w:t>
            </w:r>
            <w:r>
              <w:rPr>
                <w:rFonts w:hint="eastAsia" w:eastAsiaTheme="minorEastAsia"/>
                <w:sz w:val="24"/>
                <w:szCs w:val="24"/>
                <w:lang w:eastAsia="zh-Hans"/>
              </w:rPr>
              <w:t>HCIE</w:t>
            </w:r>
            <w:r>
              <w:rPr>
                <w:rFonts w:hint="eastAsia" w:asciiTheme="minorEastAsia" w:hAnsiTheme="minorEastAsia" w:eastAsiaTheme="minorEastAsia"/>
                <w:sz w:val="24"/>
                <w:szCs w:val="24"/>
                <w:lang w:eastAsia="zh-Hans"/>
              </w:rPr>
              <w:t>，物联网</w:t>
            </w:r>
            <w:r>
              <w:rPr>
                <w:rFonts w:hint="eastAsia" w:eastAsiaTheme="minorEastAsia"/>
                <w:sz w:val="24"/>
                <w:szCs w:val="24"/>
                <w:lang w:eastAsia="zh-Hans"/>
              </w:rPr>
              <w:t>HCIA</w:t>
            </w:r>
            <w:r>
              <w:rPr>
                <w:rFonts w:hint="eastAsia" w:asciiTheme="minorEastAsia" w:hAnsiTheme="minorEastAsia" w:eastAsiaTheme="minorEastAsia"/>
                <w:sz w:val="24"/>
                <w:szCs w:val="24"/>
                <w:lang w:eastAsia="zh-Hans"/>
              </w:rPr>
              <w:t>，网络建设与运维</w:t>
            </w:r>
            <w:r>
              <w:rPr>
                <w:rFonts w:hint="eastAsia" w:eastAsiaTheme="minorEastAsia"/>
                <w:sz w:val="24"/>
                <w:szCs w:val="24"/>
                <w:lang w:eastAsia="zh-Hans"/>
              </w:rPr>
              <w:t>1+X</w:t>
            </w:r>
            <w:r>
              <w:rPr>
                <w:rFonts w:hint="eastAsia" w:asciiTheme="minorEastAsia" w:hAnsiTheme="minorEastAsia" w:eastAsiaTheme="minorEastAsia"/>
                <w:sz w:val="24"/>
                <w:szCs w:val="24"/>
                <w:lang w:eastAsia="zh-Hans"/>
              </w:rPr>
              <w:t>初级、中级、高级等课程授课，参与泰克教育课程设以及教材开发。任职期间辅导百余名学员通过</w:t>
            </w:r>
            <w:r>
              <w:rPr>
                <w:rFonts w:hint="eastAsia" w:eastAsiaTheme="minorEastAsia"/>
                <w:sz w:val="24"/>
                <w:szCs w:val="24"/>
                <w:lang w:eastAsia="zh-Hans"/>
              </w:rPr>
              <w:t>HCIE-Routing &amp; Switching</w:t>
            </w:r>
            <w:r>
              <w:rPr>
                <w:rFonts w:hint="eastAsia" w:asciiTheme="minorEastAsia" w:hAnsiTheme="minorEastAsia" w:eastAsiaTheme="minorEastAsia"/>
                <w:sz w:val="24"/>
                <w:szCs w:val="24"/>
                <w:lang w:eastAsia="zh-Hans"/>
              </w:rPr>
              <w:t>面试考试，且获“最佳服务奖”“泰克精鹰杯”等荣誉称号。</w:t>
            </w:r>
          </w:p>
        </w:tc>
      </w:tr>
      <w:tr>
        <w:tblPrEx>
          <w:tblCellMar>
            <w:top w:w="0" w:type="dxa"/>
            <w:left w:w="108" w:type="dxa"/>
            <w:bottom w:w="0" w:type="dxa"/>
            <w:right w:w="108" w:type="dxa"/>
          </w:tblCellMar>
        </w:tblPrEx>
        <w:trPr>
          <w:trHeight w:val="320" w:hRule="atLeast"/>
          <w:jc w:val="center"/>
        </w:trPr>
        <w:tc>
          <w:tcPr>
            <w:tcW w:w="1229" w:type="pct"/>
            <w:tcBorders>
              <w:top w:val="single" w:color="auto" w:sz="8" w:space="0"/>
              <w:left w:val="single" w:color="auto" w:sz="8" w:space="0"/>
              <w:bottom w:val="single" w:color="auto" w:sz="8" w:space="0"/>
              <w:right w:val="single" w:color="auto" w:sz="8" w:space="0"/>
            </w:tcBorders>
            <w:vAlign w:val="center"/>
          </w:tcPr>
          <w:p>
            <w:pPr>
              <w:spacing w:line="560" w:lineRule="exact"/>
              <w:jc w:val="center"/>
              <w:rPr>
                <w:rFonts w:asciiTheme="minorEastAsia" w:hAnsiTheme="minorEastAsia" w:eastAsiaTheme="minorEastAsia"/>
                <w:sz w:val="24"/>
                <w:szCs w:val="24"/>
                <w:lang w:eastAsia="zh-Hans"/>
              </w:rPr>
            </w:pPr>
            <w:r>
              <w:rPr>
                <w:rFonts w:hint="eastAsia" w:asciiTheme="minorEastAsia" w:hAnsiTheme="minorEastAsia" w:eastAsiaTheme="minorEastAsia"/>
                <w:sz w:val="24"/>
                <w:szCs w:val="24"/>
                <w:lang w:eastAsia="zh-Hans"/>
              </w:rPr>
              <w:t>翟杉杉</w:t>
            </w:r>
          </w:p>
        </w:tc>
        <w:tc>
          <w:tcPr>
            <w:tcW w:w="3770" w:type="pct"/>
            <w:tcBorders>
              <w:top w:val="nil"/>
              <w:left w:val="single" w:color="auto" w:sz="8" w:space="0"/>
              <w:bottom w:val="single" w:color="auto" w:sz="4" w:space="0"/>
              <w:right w:val="single" w:color="auto" w:sz="4" w:space="0"/>
            </w:tcBorders>
            <w:vAlign w:val="center"/>
          </w:tcPr>
          <w:p>
            <w:pPr>
              <w:pStyle w:val="2"/>
              <w:spacing w:before="0" w:after="0"/>
              <w:rPr>
                <w:rFonts w:asciiTheme="minorEastAsia" w:hAnsiTheme="minorEastAsia" w:eastAsiaTheme="minorEastAsia"/>
                <w:bCs w:val="0"/>
                <w:kern w:val="0"/>
                <w:sz w:val="24"/>
                <w:szCs w:val="24"/>
                <w:lang w:eastAsia="zh-Hans"/>
              </w:rPr>
            </w:pPr>
            <w:r>
              <w:rPr>
                <w:rFonts w:hint="eastAsia" w:asciiTheme="minorEastAsia" w:hAnsiTheme="minorEastAsia" w:eastAsiaTheme="minorEastAsia"/>
                <w:bCs w:val="0"/>
                <w:kern w:val="0"/>
                <w:sz w:val="24"/>
                <w:szCs w:val="24"/>
                <w:lang w:eastAsia="zh-Hans"/>
              </w:rPr>
              <w:t>物联网讲师</w:t>
            </w:r>
          </w:p>
          <w:p>
            <w:pPr>
              <w:spacing w:line="560" w:lineRule="exact"/>
              <w:rPr>
                <w:rFonts w:asciiTheme="minorEastAsia" w:hAnsiTheme="minorEastAsia" w:eastAsiaTheme="minorEastAsia"/>
                <w:sz w:val="24"/>
                <w:szCs w:val="24"/>
                <w:lang w:eastAsia="zh-Hans"/>
              </w:rPr>
            </w:pPr>
            <w:r>
              <w:rPr>
                <w:rFonts w:hint="eastAsia" w:asciiTheme="minorEastAsia" w:hAnsiTheme="minorEastAsia" w:eastAsiaTheme="minorEastAsia"/>
                <w:sz w:val="24"/>
                <w:szCs w:val="24"/>
                <w:lang w:eastAsia="zh-Hans"/>
              </w:rPr>
              <w:t>现主要负责华为物联网、鸿蒙设备开发等技术方向的课程授课及课程设计、实验设计及教材开发。荣获“新华三杯”全国数字技术大赛内蒙赛区 一等奖。</w:t>
            </w:r>
          </w:p>
        </w:tc>
      </w:tr>
      <w:tr>
        <w:tblPrEx>
          <w:tblCellMar>
            <w:top w:w="0" w:type="dxa"/>
            <w:left w:w="108" w:type="dxa"/>
            <w:bottom w:w="0" w:type="dxa"/>
            <w:right w:w="108" w:type="dxa"/>
          </w:tblCellMar>
        </w:tblPrEx>
        <w:trPr>
          <w:trHeight w:val="320" w:hRule="atLeast"/>
          <w:jc w:val="center"/>
        </w:trPr>
        <w:tc>
          <w:tcPr>
            <w:tcW w:w="1229" w:type="pct"/>
            <w:tcBorders>
              <w:top w:val="single" w:color="auto" w:sz="8" w:space="0"/>
              <w:left w:val="single" w:color="auto" w:sz="8" w:space="0"/>
              <w:bottom w:val="single" w:color="auto" w:sz="8" w:space="0"/>
              <w:right w:val="single" w:color="auto" w:sz="8" w:space="0"/>
            </w:tcBorders>
            <w:vAlign w:val="center"/>
          </w:tcPr>
          <w:p>
            <w:pPr>
              <w:spacing w:line="560" w:lineRule="exact"/>
              <w:jc w:val="center"/>
              <w:rPr>
                <w:rFonts w:eastAsiaTheme="minorEastAsia"/>
                <w:sz w:val="24"/>
                <w:szCs w:val="24"/>
                <w:lang w:eastAsia="zh-Hans"/>
              </w:rPr>
            </w:pPr>
            <w:r>
              <w:rPr>
                <w:rFonts w:hint="eastAsia" w:eastAsiaTheme="minorEastAsia"/>
                <w:sz w:val="24"/>
                <w:szCs w:val="24"/>
                <w:lang w:eastAsia="zh-Hans"/>
              </w:rPr>
              <w:t>俞翔</w:t>
            </w:r>
          </w:p>
        </w:tc>
        <w:tc>
          <w:tcPr>
            <w:tcW w:w="3770" w:type="pct"/>
            <w:tcBorders>
              <w:top w:val="nil"/>
              <w:left w:val="single" w:color="auto" w:sz="8" w:space="0"/>
              <w:bottom w:val="single" w:color="auto" w:sz="4" w:space="0"/>
              <w:right w:val="single" w:color="auto" w:sz="4" w:space="0"/>
            </w:tcBorders>
            <w:vAlign w:val="center"/>
          </w:tcPr>
          <w:p>
            <w:pPr>
              <w:rPr>
                <w:rFonts w:eastAsiaTheme="minorEastAsia"/>
                <w:sz w:val="24"/>
                <w:szCs w:val="24"/>
                <w:lang w:eastAsia="zh-Hans"/>
              </w:rPr>
            </w:pPr>
            <w:r>
              <w:rPr>
                <w:rFonts w:hint="eastAsia" w:eastAsiaTheme="minorEastAsia"/>
                <w:sz w:val="24"/>
                <w:szCs w:val="24"/>
                <w:lang w:eastAsia="zh-Hans"/>
              </w:rPr>
              <w:t>鲲鹏&amp;存储&amp;大数据资深讲师&amp;物联网老师</w:t>
            </w:r>
          </w:p>
          <w:p>
            <w:pPr>
              <w:spacing w:line="560" w:lineRule="exact"/>
              <w:rPr>
                <w:rFonts w:eastAsiaTheme="minorEastAsia"/>
                <w:sz w:val="24"/>
                <w:szCs w:val="24"/>
                <w:lang w:eastAsia="zh-Hans"/>
              </w:rPr>
            </w:pPr>
            <w:r>
              <w:rPr>
                <w:rFonts w:hint="eastAsia" w:eastAsiaTheme="minorEastAsia"/>
                <w:sz w:val="24"/>
                <w:szCs w:val="24"/>
                <w:lang w:eastAsia="zh-Hans"/>
              </w:rPr>
              <w:t>全国首批鲲鹏讲师认证获得者。拥有多年ICT教学经验及项目经验，带队完成某集团私有云项目，存储层双活以及数据迁移项目。参与省厅大数据开发项目、数据中心容灾项目、省医院虚拟化项目。曾高质量交付重庆“大数据&amp;AI”国培项目、山东国家电网存储定制课程等。从事教学岗位以来，一直秉承理论与实践相结合的授课思想，曾参与物联网相关赛事标准制定，赛题开发，教学风格独特，深受广大学员喜欢。</w:t>
            </w:r>
          </w:p>
        </w:tc>
      </w:tr>
      <w:tr>
        <w:tblPrEx>
          <w:tblCellMar>
            <w:top w:w="0" w:type="dxa"/>
            <w:left w:w="108" w:type="dxa"/>
            <w:bottom w:w="0" w:type="dxa"/>
            <w:right w:w="108" w:type="dxa"/>
          </w:tblCellMar>
        </w:tblPrEx>
        <w:trPr>
          <w:trHeight w:val="320" w:hRule="atLeast"/>
          <w:jc w:val="center"/>
        </w:trPr>
        <w:tc>
          <w:tcPr>
            <w:tcW w:w="1229" w:type="pct"/>
            <w:tcBorders>
              <w:top w:val="single" w:color="auto" w:sz="8" w:space="0"/>
              <w:left w:val="single" w:color="auto" w:sz="8" w:space="0"/>
              <w:bottom w:val="single" w:color="auto" w:sz="8" w:space="0"/>
              <w:right w:val="single" w:color="auto" w:sz="8" w:space="0"/>
            </w:tcBorders>
            <w:vAlign w:val="center"/>
          </w:tcPr>
          <w:p>
            <w:pPr>
              <w:pStyle w:val="2"/>
              <w:spacing w:before="0" w:after="0" w:line="360" w:lineRule="auto"/>
              <w:jc w:val="center"/>
              <w:rPr>
                <w:rFonts w:eastAsiaTheme="minorEastAsia"/>
                <w:bCs w:val="0"/>
                <w:kern w:val="0"/>
                <w:sz w:val="24"/>
                <w:szCs w:val="24"/>
                <w:lang w:eastAsia="zh-Hans"/>
              </w:rPr>
            </w:pPr>
            <w:bookmarkStart w:id="0" w:name="_Toc2689"/>
            <w:bookmarkStart w:id="1" w:name="_Toc9525"/>
            <w:bookmarkStart w:id="2" w:name="_Toc28962"/>
            <w:bookmarkStart w:id="3" w:name="_Toc28853"/>
            <w:r>
              <w:rPr>
                <w:rFonts w:hint="eastAsia" w:eastAsiaTheme="minorEastAsia"/>
                <w:bCs w:val="0"/>
                <w:kern w:val="0"/>
                <w:sz w:val="24"/>
                <w:szCs w:val="24"/>
                <w:lang w:eastAsia="zh-Hans"/>
              </w:rPr>
              <w:t>颜桂灵</w:t>
            </w:r>
            <w:bookmarkEnd w:id="0"/>
            <w:bookmarkEnd w:id="1"/>
            <w:bookmarkEnd w:id="2"/>
            <w:bookmarkEnd w:id="3"/>
          </w:p>
        </w:tc>
        <w:tc>
          <w:tcPr>
            <w:tcW w:w="3770" w:type="pct"/>
            <w:tcBorders>
              <w:top w:val="nil"/>
              <w:left w:val="single" w:color="auto" w:sz="8" w:space="0"/>
              <w:bottom w:val="single" w:color="auto" w:sz="4" w:space="0"/>
              <w:right w:val="single" w:color="auto" w:sz="4" w:space="0"/>
            </w:tcBorders>
            <w:vAlign w:val="center"/>
          </w:tcPr>
          <w:p>
            <w:pPr>
              <w:pStyle w:val="2"/>
              <w:spacing w:before="0" w:after="0"/>
              <w:rPr>
                <w:rFonts w:eastAsiaTheme="minorEastAsia"/>
                <w:bCs w:val="0"/>
                <w:kern w:val="0"/>
                <w:sz w:val="24"/>
                <w:szCs w:val="24"/>
                <w:lang w:eastAsia="zh-Hans"/>
              </w:rPr>
            </w:pPr>
            <w:bookmarkStart w:id="4" w:name="_Toc23318"/>
            <w:bookmarkStart w:id="5" w:name="_Toc10010"/>
            <w:bookmarkStart w:id="6" w:name="_Toc24459"/>
            <w:bookmarkStart w:id="7" w:name="_Toc21754"/>
            <w:r>
              <w:rPr>
                <w:rFonts w:hint="eastAsia" w:eastAsiaTheme="minorEastAsia"/>
                <w:bCs w:val="0"/>
                <w:kern w:val="0"/>
                <w:sz w:val="24"/>
                <w:szCs w:val="24"/>
                <w:lang w:eastAsia="zh-Hans"/>
              </w:rPr>
              <w:t>数通 &amp; 物联网讲师</w:t>
            </w:r>
            <w:bookmarkEnd w:id="4"/>
            <w:bookmarkEnd w:id="5"/>
            <w:bookmarkEnd w:id="6"/>
            <w:bookmarkEnd w:id="7"/>
          </w:p>
          <w:p>
            <w:pPr>
              <w:spacing w:line="560" w:lineRule="exact"/>
              <w:rPr>
                <w:rFonts w:eastAsiaTheme="minorEastAsia"/>
                <w:sz w:val="24"/>
                <w:szCs w:val="24"/>
                <w:lang w:eastAsia="zh-Hans"/>
              </w:rPr>
            </w:pPr>
            <w:r>
              <w:rPr>
                <w:rFonts w:hint="eastAsia" w:eastAsiaTheme="minorEastAsia"/>
                <w:sz w:val="24"/>
                <w:szCs w:val="24"/>
                <w:lang w:eastAsia="zh-Hans"/>
              </w:rPr>
              <w:t>现主要负责华为数通、物联网等技术方向的课程授课及课程设计、实验设计及教材开发。荣获广东省物联网大赛一等奖、广东省挑战杯一等奖、广东省“攀登计划”科技发明制作类立项、深圳市电子系统制作大赛二等奖等奖项；曾参与物联网相关赛事的标准制定，赛题开发。</w:t>
            </w:r>
          </w:p>
        </w:tc>
      </w:tr>
      <w:tr>
        <w:tblPrEx>
          <w:tblCellMar>
            <w:top w:w="0" w:type="dxa"/>
            <w:left w:w="108" w:type="dxa"/>
            <w:bottom w:w="0" w:type="dxa"/>
            <w:right w:w="108" w:type="dxa"/>
          </w:tblCellMar>
        </w:tblPrEx>
        <w:trPr>
          <w:trHeight w:val="320" w:hRule="atLeast"/>
          <w:jc w:val="center"/>
        </w:trPr>
        <w:tc>
          <w:tcPr>
            <w:tcW w:w="1229" w:type="pct"/>
            <w:tcBorders>
              <w:top w:val="single" w:color="auto" w:sz="8" w:space="0"/>
              <w:left w:val="single" w:color="auto" w:sz="8" w:space="0"/>
              <w:bottom w:val="single" w:color="auto" w:sz="8" w:space="0"/>
              <w:right w:val="single" w:color="auto" w:sz="8" w:space="0"/>
            </w:tcBorders>
            <w:vAlign w:val="center"/>
          </w:tcPr>
          <w:p>
            <w:pPr>
              <w:spacing w:line="560" w:lineRule="exact"/>
              <w:jc w:val="center"/>
              <w:rPr>
                <w:rFonts w:eastAsiaTheme="minorEastAsia"/>
                <w:sz w:val="24"/>
                <w:szCs w:val="24"/>
                <w:lang w:eastAsia="zh-Hans"/>
              </w:rPr>
            </w:pPr>
            <w:r>
              <w:rPr>
                <w:rFonts w:hint="eastAsia" w:eastAsiaTheme="minorEastAsia"/>
                <w:sz w:val="24"/>
                <w:szCs w:val="24"/>
                <w:lang w:eastAsia="zh-Hans"/>
              </w:rPr>
              <w:t>郑士基</w:t>
            </w:r>
          </w:p>
        </w:tc>
        <w:tc>
          <w:tcPr>
            <w:tcW w:w="3770" w:type="pct"/>
            <w:tcBorders>
              <w:top w:val="nil"/>
              <w:left w:val="single" w:color="auto" w:sz="8" w:space="0"/>
              <w:bottom w:val="single" w:color="auto" w:sz="4" w:space="0"/>
              <w:right w:val="single" w:color="auto" w:sz="4" w:space="0"/>
            </w:tcBorders>
            <w:vAlign w:val="center"/>
          </w:tcPr>
          <w:p>
            <w:pPr>
              <w:rPr>
                <w:rFonts w:eastAsiaTheme="minorEastAsia"/>
                <w:sz w:val="24"/>
                <w:szCs w:val="24"/>
                <w:lang w:eastAsia="zh-Hans"/>
              </w:rPr>
            </w:pPr>
            <w:r>
              <w:rPr>
                <w:rFonts w:hint="eastAsia" w:eastAsiaTheme="minorEastAsia"/>
                <w:sz w:val="24"/>
                <w:szCs w:val="24"/>
                <w:lang w:eastAsia="zh-Hans"/>
              </w:rPr>
              <w:t>副教授，高级工程师。</w:t>
            </w:r>
          </w:p>
          <w:p>
            <w:pPr>
              <w:spacing w:line="560" w:lineRule="exact"/>
              <w:rPr>
                <w:rFonts w:eastAsiaTheme="minorEastAsia"/>
                <w:sz w:val="24"/>
                <w:szCs w:val="24"/>
                <w:lang w:eastAsia="zh-Hans"/>
              </w:rPr>
            </w:pPr>
            <w:r>
              <w:rPr>
                <w:rFonts w:hint="eastAsia" w:eastAsiaTheme="minorEastAsia"/>
                <w:sz w:val="24"/>
                <w:szCs w:val="24"/>
                <w:lang w:eastAsia="zh-Hans"/>
              </w:rPr>
              <w:t>中国计算机学会会员，广东省政府采购评审专家，江门市高层次人才，江门市科技项目评审专家。主要从事计算机网络、物联网专业的教学和科研工作。主持省级课题1项、市级科研课题4项、市工程技术研究中心1项。发表SCI、EI检索论文5篇，编写教材4本，获得实用新型发明专利2项。</w:t>
            </w:r>
          </w:p>
        </w:tc>
      </w:tr>
      <w:tr>
        <w:tblPrEx>
          <w:tblCellMar>
            <w:top w:w="0" w:type="dxa"/>
            <w:left w:w="108" w:type="dxa"/>
            <w:bottom w:w="0" w:type="dxa"/>
            <w:right w:w="108" w:type="dxa"/>
          </w:tblCellMar>
        </w:tblPrEx>
        <w:trPr>
          <w:trHeight w:val="320" w:hRule="atLeast"/>
          <w:jc w:val="center"/>
        </w:trPr>
        <w:tc>
          <w:tcPr>
            <w:tcW w:w="1229" w:type="pct"/>
            <w:tcBorders>
              <w:top w:val="single" w:color="auto" w:sz="8" w:space="0"/>
              <w:left w:val="single" w:color="auto" w:sz="8" w:space="0"/>
              <w:bottom w:val="single" w:color="auto" w:sz="8" w:space="0"/>
              <w:right w:val="single" w:color="auto" w:sz="8" w:space="0"/>
            </w:tcBorders>
            <w:vAlign w:val="center"/>
          </w:tcPr>
          <w:p>
            <w:pPr>
              <w:spacing w:line="560" w:lineRule="exact"/>
              <w:jc w:val="center"/>
              <w:rPr>
                <w:rFonts w:eastAsiaTheme="minorEastAsia"/>
                <w:sz w:val="24"/>
                <w:szCs w:val="24"/>
                <w:lang w:eastAsia="zh-Hans"/>
              </w:rPr>
            </w:pPr>
            <w:r>
              <w:rPr>
                <w:rFonts w:hint="eastAsia" w:eastAsiaTheme="minorEastAsia"/>
                <w:sz w:val="24"/>
                <w:szCs w:val="24"/>
                <w:lang w:eastAsia="zh-Hans"/>
              </w:rPr>
              <w:t>文瑞映</w:t>
            </w:r>
          </w:p>
        </w:tc>
        <w:tc>
          <w:tcPr>
            <w:tcW w:w="3770" w:type="pct"/>
            <w:tcBorders>
              <w:top w:val="nil"/>
              <w:left w:val="single" w:color="auto" w:sz="8" w:space="0"/>
              <w:bottom w:val="single" w:color="auto" w:sz="8" w:space="0"/>
              <w:right w:val="single" w:color="auto" w:sz="4" w:space="0"/>
            </w:tcBorders>
            <w:vAlign w:val="center"/>
          </w:tcPr>
          <w:p>
            <w:pPr>
              <w:rPr>
                <w:rFonts w:eastAsiaTheme="minorEastAsia"/>
                <w:sz w:val="24"/>
                <w:szCs w:val="24"/>
                <w:lang w:eastAsia="zh-Hans"/>
              </w:rPr>
            </w:pPr>
            <w:r>
              <w:rPr>
                <w:rFonts w:hint="eastAsia" w:eastAsiaTheme="minorEastAsia"/>
                <w:sz w:val="24"/>
                <w:szCs w:val="24"/>
                <w:lang w:eastAsia="zh-Hans"/>
              </w:rPr>
              <w:t>网络数据库讲师</w:t>
            </w:r>
          </w:p>
          <w:p>
            <w:pPr>
              <w:spacing w:line="560" w:lineRule="exact"/>
              <w:rPr>
                <w:rFonts w:eastAsiaTheme="minorEastAsia"/>
                <w:sz w:val="24"/>
                <w:szCs w:val="24"/>
                <w:lang w:eastAsia="zh-Hans"/>
              </w:rPr>
            </w:pPr>
            <w:r>
              <w:rPr>
                <w:rFonts w:hint="eastAsia" w:eastAsiaTheme="minorEastAsia"/>
                <w:sz w:val="24"/>
                <w:szCs w:val="24"/>
                <w:lang w:eastAsia="zh-Hans"/>
              </w:rPr>
              <w:t>江门市高层次人才，主要从事计算机网络技术、网络数据库等方面的教学和科研工作，主持市级科研课题一项；在国内公开发表论文4篇；获得软件著作权一项；参与江门市网络安全重点实验室申报与建设；指导学生参加网页设计大赛获一等奖一次（省级），网络安全竞赛二等奖1次（省级），计算机网络应用技能竞赛三等奖5次（省级）</w:t>
            </w:r>
          </w:p>
        </w:tc>
      </w:tr>
      <w:tr>
        <w:tblPrEx>
          <w:tblCellMar>
            <w:top w:w="0" w:type="dxa"/>
            <w:left w:w="108" w:type="dxa"/>
            <w:bottom w:w="0" w:type="dxa"/>
            <w:right w:w="108" w:type="dxa"/>
          </w:tblCellMar>
        </w:tblPrEx>
        <w:trPr>
          <w:trHeight w:val="340" w:hRule="atLeast"/>
          <w:jc w:val="center"/>
        </w:trPr>
        <w:tc>
          <w:tcPr>
            <w:tcW w:w="1229" w:type="pct"/>
            <w:tcBorders>
              <w:top w:val="single" w:color="auto" w:sz="8" w:space="0"/>
              <w:left w:val="single" w:color="auto" w:sz="8" w:space="0"/>
              <w:bottom w:val="single" w:color="auto" w:sz="8" w:space="0"/>
              <w:right w:val="single" w:color="auto" w:sz="8" w:space="0"/>
            </w:tcBorders>
            <w:vAlign w:val="center"/>
          </w:tcPr>
          <w:p>
            <w:pPr>
              <w:spacing w:line="560" w:lineRule="exact"/>
              <w:jc w:val="center"/>
              <w:rPr>
                <w:rFonts w:eastAsiaTheme="minorEastAsia"/>
                <w:sz w:val="24"/>
                <w:szCs w:val="24"/>
                <w:lang w:eastAsia="zh-Hans"/>
              </w:rPr>
            </w:pPr>
            <w:r>
              <w:rPr>
                <w:rFonts w:hint="eastAsia" w:eastAsiaTheme="minorEastAsia"/>
                <w:sz w:val="24"/>
                <w:szCs w:val="24"/>
                <w:lang w:eastAsia="zh-Hans"/>
              </w:rPr>
              <w:t>邹少军</w:t>
            </w:r>
          </w:p>
        </w:tc>
        <w:tc>
          <w:tcPr>
            <w:tcW w:w="3770" w:type="pct"/>
            <w:tcBorders>
              <w:top w:val="single" w:color="auto" w:sz="8" w:space="0"/>
              <w:left w:val="single" w:color="auto" w:sz="8" w:space="0"/>
              <w:bottom w:val="single" w:color="auto" w:sz="8" w:space="0"/>
              <w:right w:val="single" w:color="auto" w:sz="8" w:space="0"/>
            </w:tcBorders>
            <w:vAlign w:val="center"/>
          </w:tcPr>
          <w:p>
            <w:pPr>
              <w:spacing w:line="560" w:lineRule="exact"/>
              <w:rPr>
                <w:rFonts w:eastAsiaTheme="minorEastAsia"/>
                <w:sz w:val="24"/>
                <w:szCs w:val="24"/>
                <w:lang w:eastAsia="zh-Hans"/>
              </w:rPr>
            </w:pPr>
            <w:r>
              <w:rPr>
                <w:rFonts w:hint="eastAsia" w:eastAsiaTheme="minorEastAsia"/>
                <w:sz w:val="24"/>
                <w:szCs w:val="24"/>
                <w:lang w:eastAsia="zh-Hans"/>
              </w:rPr>
              <w:t>近年参编公开出版了教材2部，在公开杂志上发表学术论文13篇，其中核心期刊2篇，国际会议论文ISTP索引论文2篇，部、省级专业期刊论文9篇。多次指导学生参加专业技能大赛，并获国赛三等奖1次，省级技能大赛三等两次。主持及参与高校重大科研项目培育计划类项目2项；主持及参与校级横项科研到帐资金8万，申请一项实用新型项目专利并已授权。</w:t>
            </w:r>
          </w:p>
        </w:tc>
      </w:tr>
    </w:tbl>
    <w:p>
      <w:pPr>
        <w:spacing w:line="360" w:lineRule="auto"/>
        <w:ind w:right="191"/>
        <w:jc w:val="both"/>
        <w:rPr>
          <w:rFonts w:eastAsia="方正仿宋_GB2312" w:cs="方正仿宋_GB2312"/>
          <w:kern w:val="2"/>
          <w:sz w:val="32"/>
          <w:szCs w:val="32"/>
        </w:rPr>
      </w:pPr>
    </w:p>
    <w:p>
      <w:pPr>
        <w:numPr>
          <w:ilvl w:val="0"/>
          <w:numId w:val="1"/>
        </w:numPr>
        <w:spacing w:line="360" w:lineRule="auto"/>
        <w:ind w:right="191" w:firstLine="800" w:firstLineChars="250"/>
        <w:jc w:val="both"/>
        <w:rPr>
          <w:rFonts w:hint="eastAsia" w:eastAsia="方正仿宋_GB2312" w:cs="方正仿宋_GB2312"/>
          <w:kern w:val="2"/>
          <w:sz w:val="32"/>
          <w:szCs w:val="32"/>
          <w:lang w:val="en-US" w:eastAsia="zh-CN"/>
        </w:rPr>
      </w:pPr>
      <w:r>
        <w:rPr>
          <w:rFonts w:hint="eastAsia" w:eastAsia="方正仿宋_GB2312" w:cs="方正仿宋_GB2312"/>
          <w:kern w:val="2"/>
          <w:sz w:val="32"/>
          <w:szCs w:val="32"/>
          <w:lang w:val="en-US" w:eastAsia="zh-CN"/>
        </w:rPr>
        <w:t>实训室简介</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193" w:rightChars="0" w:firstLine="640" w:firstLineChars="200"/>
        <w:jc w:val="both"/>
        <w:textAlignment w:val="baseline"/>
        <w:rPr>
          <w:rFonts w:hint="eastAsia" w:eastAsia="方正仿宋_GB2312" w:cs="方正仿宋_GB2312"/>
          <w:kern w:val="2"/>
          <w:sz w:val="32"/>
          <w:szCs w:val="32"/>
          <w:lang w:val="en-US" w:eastAsia="zh-CN"/>
        </w:rPr>
      </w:pPr>
      <w:r>
        <w:rPr>
          <w:rFonts w:hint="eastAsia" w:eastAsia="方正仿宋_GB2312" w:cs="方正仿宋_GB2312"/>
          <w:kern w:val="2"/>
          <w:sz w:val="32"/>
          <w:szCs w:val="32"/>
          <w:lang w:val="en-US" w:eastAsia="zh-CN"/>
        </w:rPr>
        <w:t>华为ICT人才培训基地实训室包括五个部分，分别是网络空间安全实训室、物联网应用实训室、云资源中心、5G运维与应用实训室及创新创业角。</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193" w:rightChars="0" w:firstLine="643" w:firstLineChars="200"/>
        <w:jc w:val="both"/>
        <w:textAlignment w:val="baseline"/>
        <w:rPr>
          <w:rFonts w:hint="eastAsia" w:eastAsia="方正仿宋_GB2312" w:cs="方正仿宋_GB2312"/>
          <w:kern w:val="2"/>
          <w:sz w:val="32"/>
          <w:szCs w:val="32"/>
          <w:lang w:val="en-US" w:eastAsia="zh-CN"/>
        </w:rPr>
      </w:pPr>
      <w:r>
        <w:rPr>
          <w:rFonts w:hint="eastAsia" w:eastAsia="方正仿宋_GB2312" w:cs="方正仿宋_GB2312"/>
          <w:b/>
          <w:bCs/>
          <w:kern w:val="2"/>
          <w:sz w:val="32"/>
          <w:szCs w:val="32"/>
          <w:lang w:val="en-US" w:eastAsia="zh-CN"/>
        </w:rPr>
        <w:t>网络空间安全实训室：</w:t>
      </w:r>
      <w:r>
        <w:rPr>
          <w:rFonts w:hint="eastAsia" w:eastAsia="方正仿宋_GB2312" w:cs="方正仿宋_GB2312"/>
          <w:kern w:val="2"/>
          <w:sz w:val="32"/>
          <w:szCs w:val="32"/>
          <w:lang w:val="en-US" w:eastAsia="zh-CN"/>
        </w:rPr>
        <w:t>设置有50个工位，配置有两组共30台网络通信、网络安全设备，包括路由器、交换机防业墙IPS等等。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193" w:rightChars="0" w:firstLine="643" w:firstLineChars="200"/>
        <w:jc w:val="both"/>
        <w:textAlignment w:val="baseline"/>
        <w:rPr>
          <w:rFonts w:hint="eastAsia" w:eastAsia="方正仿宋_GB2312" w:cs="方正仿宋_GB2312"/>
          <w:kern w:val="2"/>
          <w:sz w:val="32"/>
          <w:szCs w:val="32"/>
          <w:lang w:val="en-US" w:eastAsia="zh-CN"/>
        </w:rPr>
      </w:pPr>
      <w:r>
        <w:rPr>
          <w:rFonts w:hint="eastAsia" w:eastAsia="方正仿宋_GB2312" w:cs="方正仿宋_GB2312"/>
          <w:b/>
          <w:bCs/>
          <w:kern w:val="2"/>
          <w:sz w:val="32"/>
          <w:szCs w:val="32"/>
          <w:lang w:val="en-US" w:eastAsia="zh-CN"/>
        </w:rPr>
        <w:t>物联网应用实训室：</w:t>
      </w:r>
      <w:r>
        <w:rPr>
          <w:rFonts w:hint="eastAsia" w:eastAsia="方正仿宋_GB2312" w:cs="方正仿宋_GB2312"/>
          <w:kern w:val="2"/>
          <w:sz w:val="32"/>
          <w:szCs w:val="32"/>
          <w:lang w:val="en-US" w:eastAsia="zh-CN"/>
        </w:rPr>
        <w:t>设置有50个工位，配备25套最新的华为NB-loT全栈物联网实训箱，可以开展《物联网识别技术》、《NB-loT技术》、《物联网综合设计》等专业核心课程的教学与实训。</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193" w:rightChars="0" w:firstLine="643" w:firstLineChars="200"/>
        <w:jc w:val="both"/>
        <w:textAlignment w:val="baseline"/>
        <w:rPr>
          <w:rFonts w:hint="eastAsia" w:eastAsia="方正仿宋_GB2312" w:cs="方正仿宋_GB2312"/>
          <w:kern w:val="2"/>
          <w:sz w:val="32"/>
          <w:szCs w:val="32"/>
          <w:lang w:val="en-US" w:eastAsia="zh-CN"/>
        </w:rPr>
      </w:pPr>
      <w:r>
        <w:rPr>
          <w:rFonts w:hint="eastAsia" w:eastAsia="方正仿宋_GB2312" w:cs="方正仿宋_GB2312"/>
          <w:b/>
          <w:bCs/>
          <w:kern w:val="2"/>
          <w:sz w:val="32"/>
          <w:szCs w:val="32"/>
          <w:lang w:val="en-US" w:eastAsia="zh-CN"/>
        </w:rPr>
        <w:t>云资源中心：</w:t>
      </w:r>
      <w:r>
        <w:rPr>
          <w:rFonts w:hint="eastAsia" w:eastAsia="方正仿宋_GB2312" w:cs="方正仿宋_GB2312"/>
          <w:kern w:val="2"/>
          <w:sz w:val="32"/>
          <w:szCs w:val="32"/>
          <w:lang w:val="en-US" w:eastAsia="zh-CN"/>
        </w:rPr>
        <w:t>集约型、开放式的数据中心，提供华为桌面云服务，为学生和教师提供24小时在线的资源访问服务，包括设备远程调试、信息安全攻防平台、虚拟系统访问、数据存储等等。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193" w:rightChars="0" w:firstLine="643" w:firstLineChars="200"/>
        <w:jc w:val="both"/>
        <w:textAlignment w:val="baseline"/>
        <w:rPr>
          <w:rFonts w:hint="eastAsia" w:eastAsia="方正仿宋_GB2312" w:cs="方正仿宋_GB2312"/>
          <w:kern w:val="2"/>
          <w:sz w:val="32"/>
          <w:szCs w:val="32"/>
          <w:lang w:val="en-US" w:eastAsia="zh-CN"/>
        </w:rPr>
      </w:pPr>
      <w:r>
        <w:rPr>
          <w:rFonts w:hint="eastAsia" w:eastAsia="方正仿宋_GB2312" w:cs="方正仿宋_GB2312"/>
          <w:b/>
          <w:bCs/>
          <w:kern w:val="2"/>
          <w:sz w:val="32"/>
          <w:szCs w:val="32"/>
          <w:lang w:val="en-US" w:eastAsia="zh-CN"/>
        </w:rPr>
        <w:t>5G运维与应用实训室：</w:t>
      </w:r>
      <w:r>
        <w:rPr>
          <w:rFonts w:hint="eastAsia" w:eastAsia="方正仿宋_GB2312" w:cs="方正仿宋_GB2312"/>
          <w:kern w:val="2"/>
          <w:sz w:val="32"/>
          <w:szCs w:val="32"/>
          <w:lang w:val="en-US" w:eastAsia="zh-CN"/>
        </w:rPr>
        <w:t>广东省首个华为5G移动通信技能型人才实训基地。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193" w:rightChars="0" w:firstLine="640" w:firstLineChars="200"/>
        <w:jc w:val="both"/>
        <w:textAlignment w:val="baseline"/>
        <w:rPr>
          <w:rFonts w:hint="default" w:eastAsia="方正仿宋_GB2312" w:cs="方正仿宋_GB2312"/>
          <w:kern w:val="2"/>
          <w:sz w:val="32"/>
          <w:szCs w:val="32"/>
          <w:lang w:val="en-US" w:eastAsia="zh-CN"/>
        </w:rPr>
      </w:pPr>
      <w:r>
        <w:rPr>
          <w:rFonts w:hint="eastAsia" w:eastAsia="方正仿宋_GB2312" w:cs="方正仿宋_GB2312"/>
          <w:kern w:val="2"/>
          <w:sz w:val="32"/>
          <w:szCs w:val="32"/>
          <w:lang w:val="en-US" w:eastAsia="zh-CN"/>
        </w:rPr>
        <w:t>1、</w:t>
      </w:r>
      <w:r>
        <w:rPr>
          <w:rFonts w:hint="default" w:eastAsia="方正仿宋_GB2312" w:cs="方正仿宋_GB2312"/>
          <w:kern w:val="2"/>
          <w:sz w:val="32"/>
          <w:szCs w:val="32"/>
          <w:lang w:val="en-US" w:eastAsia="zh-CN"/>
        </w:rPr>
        <w:t>华为5G模拟器∶采用华为5G设备同源代码开发，能够完全仿真华为5G设备的配置、维护环境和多种5G应用场景;</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193" w:rightChars="0" w:firstLine="640" w:firstLineChars="200"/>
        <w:jc w:val="both"/>
        <w:textAlignment w:val="baseline"/>
        <w:rPr>
          <w:rFonts w:hint="default" w:eastAsia="方正仿宋_GB2312" w:cs="方正仿宋_GB2312"/>
          <w:kern w:val="2"/>
          <w:sz w:val="32"/>
          <w:szCs w:val="32"/>
          <w:lang w:val="en-US" w:eastAsia="zh-CN"/>
        </w:rPr>
      </w:pPr>
      <w:r>
        <w:rPr>
          <w:rFonts w:hint="eastAsia" w:eastAsia="方正仿宋_GB2312" w:cs="方正仿宋_GB2312"/>
          <w:kern w:val="2"/>
          <w:sz w:val="32"/>
          <w:szCs w:val="32"/>
          <w:lang w:val="en-US" w:eastAsia="zh-CN"/>
        </w:rPr>
        <w:t>2、</w:t>
      </w:r>
      <w:r>
        <w:rPr>
          <w:rFonts w:hint="default" w:eastAsia="方正仿宋_GB2312" w:cs="方正仿宋_GB2312"/>
          <w:kern w:val="2"/>
          <w:sz w:val="32"/>
          <w:szCs w:val="32"/>
          <w:lang w:val="en-US" w:eastAsia="zh-CN"/>
        </w:rPr>
        <w:t>VR系统∶实现了设备操作与数据指标的可视化，能够很好地提高教学的效果。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193" w:rightChars="0" w:firstLine="643" w:firstLineChars="200"/>
        <w:jc w:val="both"/>
        <w:textAlignment w:val="baseline"/>
        <w:rPr>
          <w:rFonts w:hint="default" w:eastAsia="方正仿宋_GB2312" w:cs="方正仿宋_GB2312"/>
          <w:kern w:val="2"/>
          <w:sz w:val="32"/>
          <w:szCs w:val="32"/>
          <w:lang w:val="en-US" w:eastAsia="zh-CN"/>
        </w:rPr>
      </w:pPr>
      <w:r>
        <w:rPr>
          <w:rFonts w:hint="eastAsia" w:eastAsia="方正仿宋_GB2312" w:cs="方正仿宋_GB2312"/>
          <w:b/>
          <w:bCs/>
          <w:kern w:val="2"/>
          <w:sz w:val="32"/>
          <w:szCs w:val="32"/>
          <w:lang w:val="en-US" w:eastAsia="zh-CN"/>
        </w:rPr>
        <w:t>创新创业角：</w:t>
      </w:r>
      <w:r>
        <w:rPr>
          <w:rFonts w:hint="eastAsia" w:eastAsia="方正仿宋_GB2312" w:cs="方正仿宋_GB2312"/>
          <w:kern w:val="2"/>
          <w:sz w:val="32"/>
          <w:szCs w:val="32"/>
          <w:lang w:val="en-US" w:eastAsia="zh-CN"/>
        </w:rPr>
        <w:t>为学生提供创新创业项目交流、作品展示的空间和环境。</w:t>
      </w: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w:t>
      </w:r>
      <w:r>
        <w:rPr>
          <w:rFonts w:hint="eastAsia" w:eastAsia="方正仿宋_GB2312" w:cs="方正仿宋_GB2312"/>
          <w:kern w:val="2"/>
          <w:sz w:val="32"/>
          <w:szCs w:val="32"/>
          <w:lang w:val="en-US" w:eastAsia="zh-CN"/>
        </w:rPr>
        <w:t>五</w:t>
      </w:r>
      <w:r>
        <w:rPr>
          <w:rFonts w:hint="eastAsia" w:eastAsia="方正仿宋_GB2312" w:cs="方正仿宋_GB2312"/>
          <w:kern w:val="2"/>
          <w:sz w:val="32"/>
          <w:szCs w:val="32"/>
        </w:rPr>
        <w:t>）招生对象</w:t>
      </w: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 xml:space="preserve">1、江门市制造业企业从事信息化的技术人员或管理人员； </w:t>
      </w:r>
    </w:p>
    <w:p>
      <w:pPr>
        <w:spacing w:line="360" w:lineRule="auto"/>
        <w:ind w:right="193"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2、江门市的软件服务商提供技术支持的人员；</w:t>
      </w:r>
    </w:p>
    <w:p>
      <w:pPr>
        <w:spacing w:line="360" w:lineRule="auto"/>
        <w:ind w:right="193"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3、江门市高职院校信息技术专业的学生，中职学校计算机专业的学生。</w:t>
      </w:r>
    </w:p>
    <w:p>
      <w:pPr>
        <w:spacing w:line="360" w:lineRule="auto"/>
        <w:ind w:right="193"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w:t>
      </w:r>
      <w:r>
        <w:rPr>
          <w:rFonts w:hint="eastAsia" w:eastAsia="方正仿宋_GB2312" w:cs="方正仿宋_GB2312"/>
          <w:kern w:val="2"/>
          <w:sz w:val="32"/>
          <w:szCs w:val="32"/>
          <w:lang w:val="en-US" w:eastAsia="zh-CN"/>
        </w:rPr>
        <w:t>六</w:t>
      </w:r>
      <w:r>
        <w:rPr>
          <w:rFonts w:hint="eastAsia" w:eastAsia="方正仿宋_GB2312" w:cs="方正仿宋_GB2312"/>
          <w:kern w:val="2"/>
          <w:sz w:val="32"/>
          <w:szCs w:val="32"/>
        </w:rPr>
        <w:t>）培训认证</w:t>
      </w:r>
    </w:p>
    <w:p>
      <w:pPr>
        <w:spacing w:line="360" w:lineRule="auto"/>
        <w:ind w:right="193"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学员完成全部课程学习，考勤、考核顺利通过后，将获得江门职业技术学院颁发的结业证书。</w:t>
      </w:r>
    </w:p>
    <w:p>
      <w:pPr>
        <w:spacing w:line="360" w:lineRule="auto"/>
        <w:ind w:right="191" w:firstLine="800" w:firstLineChars="250"/>
        <w:jc w:val="both"/>
        <w:rPr>
          <w:rFonts w:eastAsia="黑体" w:cs="黑体"/>
          <w:kern w:val="2"/>
          <w:sz w:val="32"/>
          <w:szCs w:val="32"/>
        </w:rPr>
      </w:pPr>
    </w:p>
    <w:p>
      <w:pPr>
        <w:spacing w:line="360" w:lineRule="auto"/>
        <w:ind w:right="191" w:firstLine="800" w:firstLineChars="250"/>
        <w:jc w:val="both"/>
        <w:rPr>
          <w:rFonts w:eastAsia="方正仿宋_GB2312" w:cs="方正仿宋_GB2312"/>
          <w:kern w:val="2"/>
          <w:sz w:val="32"/>
          <w:szCs w:val="32"/>
        </w:rPr>
      </w:pPr>
      <w:r>
        <w:rPr>
          <w:rFonts w:hint="eastAsia" w:eastAsia="黑体" w:cs="黑体"/>
          <w:kern w:val="2"/>
          <w:sz w:val="32"/>
          <w:szCs w:val="32"/>
        </w:rPr>
        <w:t>二、报名事项</w:t>
      </w:r>
    </w:p>
    <w:p>
      <w:pPr>
        <w:numPr>
          <w:ilvl w:val="0"/>
          <w:numId w:val="2"/>
        </w:num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招生咨询</w:t>
      </w: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 xml:space="preserve">联系人 : 陈生           联系电话 : 0750-3136565 </w:t>
      </w: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邮箱：chenra@5ehr.com</w:t>
      </w: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（二）报名方式</w:t>
      </w: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扫描下方二维码，进入“华为云+”公众号，关注后填写报名信息表，即可报名。</w:t>
      </w:r>
    </w:p>
    <w:p>
      <w:pPr>
        <w:spacing w:line="360" w:lineRule="auto"/>
        <w:ind w:right="191" w:firstLine="800" w:firstLineChars="250"/>
        <w:jc w:val="center"/>
        <w:rPr>
          <w:rFonts w:eastAsia="方正仿宋_GB2312" w:cs="方正仿宋_GB2312"/>
          <w:kern w:val="2"/>
          <w:sz w:val="32"/>
          <w:szCs w:val="32"/>
        </w:rPr>
      </w:pPr>
      <w:r>
        <w:rPr>
          <w:rFonts w:hint="eastAsia" w:eastAsia="宋体" w:cs="方正仿宋_GB2312"/>
          <w:kern w:val="2"/>
          <w:sz w:val="32"/>
          <w:szCs w:val="32"/>
        </w:rPr>
        <w:drawing>
          <wp:inline distT="0" distB="0" distL="114300" distR="114300">
            <wp:extent cx="1490345" cy="1490345"/>
            <wp:effectExtent l="0" t="0" r="3175" b="3175"/>
            <wp:docPr id="3" name="图片 3" descr="人才培养报名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人才培养报名二维码"/>
                    <pic:cNvPicPr>
                      <a:picLocks noChangeAspect="1"/>
                    </pic:cNvPicPr>
                  </pic:nvPicPr>
                  <pic:blipFill>
                    <a:blip r:embed="rId4"/>
                    <a:stretch>
                      <a:fillRect/>
                    </a:stretch>
                  </pic:blipFill>
                  <pic:spPr>
                    <a:xfrm>
                      <a:off x="0" y="0"/>
                      <a:ext cx="1490345" cy="1490345"/>
                    </a:xfrm>
                    <a:prstGeom prst="rect">
                      <a:avLst/>
                    </a:prstGeom>
                    <a:noFill/>
                    <a:ln>
                      <a:noFill/>
                    </a:ln>
                  </pic:spPr>
                </pic:pic>
              </a:graphicData>
            </a:graphic>
          </wp:inline>
        </w:drawing>
      </w:r>
    </w:p>
    <w:p>
      <w:pPr>
        <w:spacing w:line="360" w:lineRule="auto"/>
        <w:ind w:right="191" w:firstLine="800" w:firstLineChars="250"/>
        <w:jc w:val="both"/>
        <w:rPr>
          <w:rFonts w:eastAsia="方正仿宋_GB2312" w:cs="方正仿宋_GB2312"/>
          <w:kern w:val="2"/>
          <w:sz w:val="32"/>
          <w:szCs w:val="32"/>
        </w:rPr>
      </w:pPr>
    </w:p>
    <w:p>
      <w:pPr>
        <w:spacing w:line="360" w:lineRule="auto"/>
        <w:ind w:right="191" w:firstLine="800" w:firstLineChars="250"/>
        <w:jc w:val="both"/>
        <w:rPr>
          <w:rFonts w:eastAsia="方正仿宋_GB2312" w:cs="方正仿宋_GB2312"/>
          <w:kern w:val="2"/>
          <w:sz w:val="32"/>
          <w:szCs w:val="32"/>
        </w:rPr>
      </w:pP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（三）注意事项</w:t>
      </w: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1、以上培训具体课程</w:t>
      </w:r>
      <w:r>
        <w:rPr>
          <w:rFonts w:hint="eastAsia" w:eastAsia="方正仿宋_GB2312" w:cs="方正仿宋_GB2312"/>
          <w:kern w:val="2"/>
          <w:sz w:val="32"/>
          <w:szCs w:val="32"/>
          <w:lang w:eastAsia="zh-CN"/>
        </w:rPr>
        <w:t>、</w:t>
      </w:r>
      <w:r>
        <w:rPr>
          <w:rFonts w:hint="eastAsia" w:eastAsia="方正仿宋_GB2312" w:cs="方正仿宋_GB2312"/>
          <w:kern w:val="2"/>
          <w:sz w:val="32"/>
          <w:szCs w:val="32"/>
        </w:rPr>
        <w:t>师资</w:t>
      </w:r>
      <w:r>
        <w:rPr>
          <w:rFonts w:hint="eastAsia" w:eastAsia="方正仿宋_GB2312" w:cs="方正仿宋_GB2312"/>
          <w:kern w:val="2"/>
          <w:sz w:val="32"/>
          <w:szCs w:val="32"/>
          <w:lang w:val="en-US" w:eastAsia="zh-CN"/>
        </w:rPr>
        <w:t>和培训室</w:t>
      </w:r>
      <w:r>
        <w:rPr>
          <w:rFonts w:hint="eastAsia" w:eastAsia="方正仿宋_GB2312" w:cs="方正仿宋_GB2312"/>
          <w:kern w:val="2"/>
          <w:sz w:val="32"/>
          <w:szCs w:val="32"/>
        </w:rPr>
        <w:t>如有微调，以实际教学安排为准。时间安排根据广东省、培训院校疫情防控政策规定，进行调整；</w:t>
      </w: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2、请各单位人员提前30分钟到达会场签到；</w:t>
      </w: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3、按疫情防控要求，每期培训人数不超过49人，额满将顺延下一期；</w:t>
      </w: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4、报名后相关工作人员电话联系确认信息；</w:t>
      </w:r>
    </w:p>
    <w:p>
      <w:pPr>
        <w:spacing w:line="360" w:lineRule="auto"/>
        <w:ind w:right="191" w:firstLine="800" w:firstLineChars="250"/>
        <w:jc w:val="both"/>
        <w:rPr>
          <w:rFonts w:eastAsia="方正仿宋_GB2312" w:cs="方正仿宋_GB2312"/>
          <w:kern w:val="2"/>
          <w:sz w:val="32"/>
          <w:szCs w:val="32"/>
        </w:rPr>
      </w:pPr>
      <w:r>
        <w:rPr>
          <w:rFonts w:hint="eastAsia" w:eastAsia="方正仿宋_GB2312" w:cs="方正仿宋_GB2312"/>
          <w:kern w:val="2"/>
          <w:sz w:val="32"/>
          <w:szCs w:val="32"/>
        </w:rPr>
        <w:t>5、同一企业总报名人数不超过5人，同一人不能报名参加3次以上培训，同一企业在同一期培训的报名人数不能超过3人。</w:t>
      </w:r>
    </w:p>
    <w:sectPr>
      <w:pgSz w:w="11906" w:h="16838"/>
      <w:pgMar w:top="1440" w:right="1083" w:bottom="1440" w:left="10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AF27CFF-0E8C-49BA-A695-725E4924B980}"/>
  </w:font>
  <w:font w:name="黑体">
    <w:panose1 w:val="02010609060101010101"/>
    <w:charset w:val="86"/>
    <w:family w:val="auto"/>
    <w:pitch w:val="default"/>
    <w:sig w:usb0="800002BF" w:usb1="38CF7CFA" w:usb2="00000016" w:usb3="00000000" w:csb0="00040001" w:csb1="00000000"/>
    <w:embedRegular r:id="rId2" w:fontKey="{EA2FE338-5BA7-416F-AA79-3827C734630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4EA75614-95B9-4425-919A-1A4F3D86094D}"/>
  </w:font>
  <w:font w:name="方正黑体_GBK">
    <w:altName w:val="微软雅黑"/>
    <w:panose1 w:val="03000509000000000000"/>
    <w:charset w:val="86"/>
    <w:family w:val="script"/>
    <w:pitch w:val="default"/>
    <w:sig w:usb0="00000000" w:usb1="00000000" w:usb2="00000010" w:usb3="00000000" w:csb0="00040000" w:csb1="00000000"/>
  </w:font>
  <w:font w:name="方正仿宋_GB2312">
    <w:panose1 w:val="02000000000000000000"/>
    <w:charset w:val="86"/>
    <w:family w:val="auto"/>
    <w:pitch w:val="default"/>
    <w:sig w:usb0="A00002BF" w:usb1="184F6CFA" w:usb2="00000012" w:usb3="00000000" w:csb0="00040001" w:csb1="00000000"/>
    <w:embedRegular r:id="rId4" w:fontKey="{57A8647E-723B-4921-9814-010A06FDCB9E}"/>
  </w:font>
  <w:font w:name="仿宋_GB2312">
    <w:panose1 w:val="02010609030101010101"/>
    <w:charset w:val="86"/>
    <w:family w:val="modern"/>
    <w:pitch w:val="default"/>
    <w:sig w:usb0="00000000" w:usb1="00000000" w:usb2="00000000" w:usb3="00000000" w:csb0="00000000" w:csb1="00000000"/>
    <w:embedRegular r:id="rId5" w:fontKey="{2C2F557A-5D7A-49D5-A720-A1697C846A1D}"/>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F92909"/>
    <w:multiLevelType w:val="singleLevel"/>
    <w:tmpl w:val="35F92909"/>
    <w:lvl w:ilvl="0" w:tentative="0">
      <w:start w:val="4"/>
      <w:numFmt w:val="chineseCounting"/>
      <w:suff w:val="nothing"/>
      <w:lvlText w:val="（%1）"/>
      <w:lvlJc w:val="left"/>
      <w:rPr>
        <w:rFonts w:hint="eastAsia"/>
      </w:rPr>
    </w:lvl>
  </w:abstractNum>
  <w:abstractNum w:abstractNumId="1">
    <w:nsid w:val="5AC6FD11"/>
    <w:multiLevelType w:val="singleLevel"/>
    <w:tmpl w:val="5AC6FD11"/>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D3E79"/>
    <w:rsid w:val="002C015E"/>
    <w:rsid w:val="003B116A"/>
    <w:rsid w:val="003F4DD8"/>
    <w:rsid w:val="00A57F99"/>
    <w:rsid w:val="00AD7F20"/>
    <w:rsid w:val="00B51B35"/>
    <w:rsid w:val="00F54C17"/>
    <w:rsid w:val="00F837A6"/>
    <w:rsid w:val="166E6247"/>
    <w:rsid w:val="1E4B6619"/>
    <w:rsid w:val="39423E19"/>
    <w:rsid w:val="3F450B29"/>
    <w:rsid w:val="40A239FF"/>
    <w:rsid w:val="47E63A34"/>
    <w:rsid w:val="5A970B1D"/>
    <w:rsid w:val="5D4720C3"/>
    <w:rsid w:val="73600C66"/>
    <w:rsid w:val="7C8D3E79"/>
    <w:rsid w:val="7E0473D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qFormat/>
    <w:uiPriority w:val="0"/>
    <w:pPr>
      <w:keepNext/>
      <w:keepLines/>
      <w:spacing w:before="340" w:after="330"/>
      <w:outlineLvl w:val="0"/>
    </w:pPr>
    <w:rPr>
      <w:rFonts w:eastAsia="方正黑体_GBK"/>
      <w:bCs/>
      <w:kern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pPr>
    <w:rPr>
      <w:sz w:val="18"/>
      <w:szCs w:val="18"/>
    </w:rPr>
  </w:style>
  <w:style w:type="paragraph" w:styleId="4">
    <w:name w:val="header"/>
    <w:basedOn w:val="1"/>
    <w:link w:val="7"/>
    <w:qFormat/>
    <w:uiPriority w:val="0"/>
    <w:pPr>
      <w:pBdr>
        <w:bottom w:val="single" w:color="auto" w:sz="6" w:space="1"/>
      </w:pBdr>
      <w:tabs>
        <w:tab w:val="center" w:pos="4153"/>
        <w:tab w:val="right" w:pos="8306"/>
      </w:tabs>
      <w:jc w:val="center"/>
    </w:pPr>
    <w:rPr>
      <w:sz w:val="18"/>
      <w:szCs w:val="18"/>
    </w:rPr>
  </w:style>
  <w:style w:type="character" w:customStyle="1" w:styleId="7">
    <w:name w:val="页眉 Char"/>
    <w:basedOn w:val="6"/>
    <w:link w:val="4"/>
    <w:qFormat/>
    <w:uiPriority w:val="0"/>
    <w:rPr>
      <w:rFonts w:ascii="Arial" w:hAnsi="Arial" w:eastAsia="Arial" w:cs="Arial"/>
      <w:snapToGrid w:val="0"/>
      <w:color w:val="000000"/>
      <w:sz w:val="18"/>
      <w:szCs w:val="18"/>
    </w:rPr>
  </w:style>
  <w:style w:type="character" w:customStyle="1" w:styleId="8">
    <w:name w:val="页脚 Char"/>
    <w:basedOn w:val="6"/>
    <w:link w:val="3"/>
    <w:qFormat/>
    <w:uiPriority w:val="0"/>
    <w:rPr>
      <w:rFonts w:ascii="Arial" w:hAnsi="Arial" w:eastAsia="Arial" w:cs="Arial"/>
      <w:snapToGrid w:val="0"/>
      <w:color w:val="000000"/>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Huawei Technologies Co.,Ltd.</Company>
  <Pages>9</Pages>
  <Words>546</Words>
  <Characters>3113</Characters>
  <Lines>25</Lines>
  <Paragraphs>7</Paragraphs>
  <TotalTime>0</TotalTime>
  <ScaleCrop>false</ScaleCrop>
  <LinksUpToDate>false</LinksUpToDate>
  <CharactersWithSpaces>3652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2022-03-11T06:40:00Z</dcterms:created>
  <dc:creator>nemo</dc:creator>
  <cp:lastModifiedBy>nemo</cp:lastModifiedBy>
  <dcterms:modified xsi:type="dcterms:W3CDTF">2022-03-14T00:41:22Z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A92707FF2CD441DE8033D0182FC2C715</vt:lpwstr>
  </property>
  <property fmtid="{D5CDD505-2E9C-101B-9397-08002B2CF9AE}" pid="4" name="KSOSaveFontToCloudKey">
    <vt:lpwstr>206285173_cloud</vt:lpwstr>
  </property>
  <property fmtid="{D5CDD505-2E9C-101B-9397-08002B2CF9AE}" pid="5" name="_2015_ms_pID_725343">
    <vt:lpwstr>(3)eBxTqaXubdsIsVFqxqLo//KMOL/uhWn/8YXB3ue6cbnlQXa8SpFcctIP2RqjvFfJPOT8t+RC
/0QfsxcZAOYQcjLq8LIFudvgqLPzXk3Y82lBppeOUZwPJUnXnp6Z2D7GDfrfqlloD1nf/jQ7
t0nFsNWt9O9MVJe45UC+ZFqVo8oWN4defdmHUFYLHE8H/wte5xs3Mz+hpRPGbPfqbclO3eBo
0rH2y0Z1+qCOcsXK+j</vt:lpwstr>
  </property>
  <property fmtid="{D5CDD505-2E9C-101B-9397-08002B2CF9AE}" pid="6" name="_2015_ms_pID_7253431">
    <vt:lpwstr>U+MYxQYh+isgqQH+GxvJT6bp/PAkfLCrZOjx3KvV5d2lkQQN4IQpFi
5CiBpnAQHCCFd5+X7deevB+BvOETFMdAAkpG+BwGLBG+iml6KlWmITO0z2xxmlyCJsxfMHoA
Z/RDI+Oq9ejMogHU5Hu6qEPfvDUVO7ckMKGuqojk41qFY4dH/YzSWmOz1iZ4q/kD14Lqm1WA
UJ84K+VoUynEOCL4s1KkgPcpBBeRk3WL1oSZ</vt:lpwstr>
  </property>
  <property fmtid="{D5CDD505-2E9C-101B-9397-08002B2CF9AE}" pid="7" name="_2015_ms_pID_7253432">
    <vt:lpwstr>Tg==</vt:lpwstr>
  </property>
</Properties>
</file>