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300" w:beforeAutospacing="0" w:after="375" w:afterAutospacing="0" w:line="560" w:lineRule="exact"/>
        <w:ind w:left="0" w:right="0" w:firstLine="643" w:firstLineChars="200"/>
        <w:jc w:val="center"/>
        <w:textAlignment w:val="auto"/>
        <w:rPr>
          <w:rFonts w:hint="eastAsia" w:ascii="仿宋_GB2312" w:hAnsi="仿宋_GB2312" w:eastAsia="仿宋_GB2312" w:cs="仿宋_GB2312"/>
          <w:b/>
          <w:bCs/>
          <w:i w:val="0"/>
          <w:iCs w:val="0"/>
          <w:caps w:val="0"/>
          <w:color w:val="auto"/>
          <w:spacing w:val="0"/>
          <w:sz w:val="32"/>
          <w:szCs w:val="32"/>
        </w:rPr>
      </w:pPr>
      <w:r>
        <w:rPr>
          <w:rFonts w:hint="eastAsia" w:ascii="仿宋_GB2312" w:hAnsi="仿宋_GB2312" w:eastAsia="仿宋_GB2312" w:cs="仿宋_GB2312"/>
          <w:b/>
          <w:bCs/>
          <w:i w:val="0"/>
          <w:iCs w:val="0"/>
          <w:caps w:val="0"/>
          <w:color w:val="auto"/>
          <w:spacing w:val="0"/>
          <w:sz w:val="32"/>
          <w:szCs w:val="32"/>
          <w:bdr w:val="none" w:color="auto" w:sz="0" w:space="0"/>
          <w:shd w:val="clear" w:fill="FFFFFF"/>
        </w:rPr>
        <w:t>江门市人民政府办公室转发关于进一步完善我省被征地农民养老保障政策意见的通知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560" w:lineRule="exact"/>
        <w:ind w:left="0" w:right="0" w:firstLine="640" w:firstLineChars="200"/>
        <w:jc w:val="center"/>
        <w:textAlignment w:val="auto"/>
        <w:rPr>
          <w:rFonts w:hint="eastAsia" w:ascii="仿宋_GB2312" w:hAnsi="仿宋_GB2312" w:eastAsia="仿宋_GB2312" w:cs="仿宋_GB2312"/>
          <w:color w:val="auto"/>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56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江府</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办函〔</w:t>
      </w:r>
      <w:r>
        <w:rPr>
          <w:rFonts w:hint="eastAsia" w:ascii="仿宋_GB2312" w:hAnsi="仿宋_GB2312" w:eastAsia="仿宋_GB2312" w:cs="仿宋_GB2312"/>
          <w:i w:val="0"/>
          <w:iCs w:val="0"/>
          <w:caps w:val="0"/>
          <w:color w:val="auto"/>
          <w:spacing w:val="0"/>
          <w:sz w:val="32"/>
          <w:szCs w:val="32"/>
          <w:bdr w:val="none" w:color="auto" w:sz="0" w:space="0"/>
          <w:shd w:val="clear" w:fill="FFFFFF"/>
        </w:rPr>
        <w:t>2021</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w:t>
      </w:r>
      <w:r>
        <w:rPr>
          <w:rFonts w:hint="eastAsia" w:ascii="仿宋_GB2312" w:hAnsi="仿宋_GB2312" w:eastAsia="仿宋_GB2312" w:cs="仿宋_GB2312"/>
          <w:i w:val="0"/>
          <w:iCs w:val="0"/>
          <w:caps w:val="0"/>
          <w:color w:val="auto"/>
          <w:spacing w:val="0"/>
          <w:sz w:val="32"/>
          <w:szCs w:val="32"/>
          <w:bdr w:val="none" w:color="auto" w:sz="0" w:space="0"/>
          <w:shd w:val="clear" w:fill="FFFFFF"/>
        </w:rPr>
        <w:t>130</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560" w:lineRule="exact"/>
        <w:ind w:left="0" w:right="0" w:firstLine="640" w:firstLineChars="200"/>
        <w:textAlignment w:val="auto"/>
        <w:rPr>
          <w:rFonts w:hint="eastAsia" w:ascii="仿宋_GB2312" w:hAnsi="仿宋_GB2312" w:eastAsia="仿宋_GB2312" w:cs="仿宋_GB2312"/>
          <w:color w:val="auto"/>
          <w:sz w:val="32"/>
          <w:szCs w:val="32"/>
        </w:rPr>
      </w:pPr>
      <w:bookmarkStart w:id="0" w:name="_GoBack"/>
      <w:bookmarkEnd w:id="0"/>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560" w:lineRule="exact"/>
        <w:ind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各市（区）人民政府，市有关单位：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为进一步做好我市被征地农民养老保障工作，现将《广东省人民政府办公厅转发省人力资源社会保障厅关于进一步完善我省被征地农民养老保障政策意见的通知》（粤府办〔</w:t>
      </w:r>
      <w:r>
        <w:rPr>
          <w:rFonts w:hint="eastAsia" w:ascii="仿宋_GB2312" w:hAnsi="仿宋_GB2312" w:eastAsia="仿宋_GB2312" w:cs="仿宋_GB2312"/>
          <w:i w:val="0"/>
          <w:iCs w:val="0"/>
          <w:caps w:val="0"/>
          <w:color w:val="auto"/>
          <w:spacing w:val="0"/>
          <w:sz w:val="32"/>
          <w:szCs w:val="32"/>
          <w:bdr w:val="none" w:color="auto" w:sz="0" w:space="0"/>
          <w:shd w:val="clear" w:fill="FFFFFF"/>
        </w:rPr>
        <w:t>2021</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w:t>
      </w:r>
      <w:r>
        <w:rPr>
          <w:rFonts w:hint="eastAsia" w:ascii="仿宋_GB2312" w:hAnsi="仿宋_GB2312" w:eastAsia="仿宋_GB2312" w:cs="仿宋_GB2312"/>
          <w:i w:val="0"/>
          <w:iCs w:val="0"/>
          <w:caps w:val="0"/>
          <w:color w:val="auto"/>
          <w:spacing w:val="0"/>
          <w:sz w:val="32"/>
          <w:szCs w:val="32"/>
          <w:bdr w:val="none" w:color="auto" w:sz="0" w:space="0"/>
          <w:shd w:val="clear" w:fill="FFFFFF"/>
        </w:rPr>
        <w:t>22</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号，以下简称粤府办〔</w:t>
      </w:r>
      <w:r>
        <w:rPr>
          <w:rFonts w:hint="eastAsia" w:ascii="仿宋_GB2312" w:hAnsi="仿宋_GB2312" w:eastAsia="仿宋_GB2312" w:cs="仿宋_GB2312"/>
          <w:i w:val="0"/>
          <w:iCs w:val="0"/>
          <w:caps w:val="0"/>
          <w:color w:val="auto"/>
          <w:spacing w:val="0"/>
          <w:sz w:val="32"/>
          <w:szCs w:val="32"/>
          <w:bdr w:val="none" w:color="auto" w:sz="0" w:space="0"/>
          <w:shd w:val="clear" w:fill="FFFFFF"/>
        </w:rPr>
        <w:t>2021</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w:t>
      </w:r>
      <w:r>
        <w:rPr>
          <w:rFonts w:hint="eastAsia" w:ascii="仿宋_GB2312" w:hAnsi="仿宋_GB2312" w:eastAsia="仿宋_GB2312" w:cs="仿宋_GB2312"/>
          <w:i w:val="0"/>
          <w:iCs w:val="0"/>
          <w:caps w:val="0"/>
          <w:color w:val="auto"/>
          <w:spacing w:val="0"/>
          <w:sz w:val="32"/>
          <w:szCs w:val="32"/>
          <w:bdr w:val="none" w:color="auto" w:sz="0" w:space="0"/>
          <w:shd w:val="clear" w:fill="FFFFFF"/>
        </w:rPr>
        <w:t>22</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号文）转发给你们，经市人民政府研究，结合我市实际，提出如下贯彻意见，请一并贯彻执行。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一、明确征地社保费筹集标准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每次征地时，市（区）人民政府按照“先保后征”原则，每征</w:t>
      </w:r>
      <w:r>
        <w:rPr>
          <w:rFonts w:hint="eastAsia" w:ascii="仿宋_GB2312" w:hAnsi="仿宋_GB2312" w:eastAsia="仿宋_GB2312" w:cs="仿宋_GB2312"/>
          <w:i w:val="0"/>
          <w:iCs w:val="0"/>
          <w:caps w:val="0"/>
          <w:color w:val="auto"/>
          <w:spacing w:val="0"/>
          <w:sz w:val="32"/>
          <w:szCs w:val="32"/>
          <w:bdr w:val="none" w:color="auto" w:sz="0" w:space="0"/>
          <w:shd w:val="clear" w:fill="FFFFFF"/>
        </w:rPr>
        <w:t>1</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亩地，原则上以不低于征地安置补偿方案制定时所在市（区）平均每亩征收农用地区片综合地价的一定比例筹集征地社保费，计入征地成本，列入工程项目概算。市（区）平均每亩征收农用地区片综合地价按市人民政府公布实施征收农用地区片综合地价的有关标准计算，在</w:t>
      </w:r>
      <w:r>
        <w:rPr>
          <w:rFonts w:hint="eastAsia" w:ascii="仿宋_GB2312" w:hAnsi="仿宋_GB2312" w:eastAsia="仿宋_GB2312" w:cs="仿宋_GB2312"/>
          <w:i w:val="0"/>
          <w:iCs w:val="0"/>
          <w:caps w:val="0"/>
          <w:color w:val="auto"/>
          <w:spacing w:val="0"/>
          <w:sz w:val="32"/>
          <w:szCs w:val="32"/>
          <w:bdr w:val="none" w:color="auto" w:sz="0" w:space="0"/>
          <w:shd w:val="clear" w:fill="FFFFFF"/>
        </w:rPr>
        <w:t>5</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万元（含</w:t>
      </w:r>
      <w:r>
        <w:rPr>
          <w:rFonts w:hint="eastAsia" w:ascii="仿宋_GB2312" w:hAnsi="仿宋_GB2312" w:eastAsia="仿宋_GB2312" w:cs="仿宋_GB2312"/>
          <w:i w:val="0"/>
          <w:iCs w:val="0"/>
          <w:caps w:val="0"/>
          <w:color w:val="auto"/>
          <w:spacing w:val="0"/>
          <w:sz w:val="32"/>
          <w:szCs w:val="32"/>
          <w:bdr w:val="none" w:color="auto" w:sz="0" w:space="0"/>
          <w:shd w:val="clear" w:fill="FFFFFF"/>
        </w:rPr>
        <w:t>5</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万元）</w:t>
      </w:r>
      <w:r>
        <w:rPr>
          <w:rFonts w:hint="eastAsia" w:ascii="仿宋_GB2312" w:hAnsi="仿宋_GB2312" w:eastAsia="仿宋_GB2312" w:cs="仿宋_GB2312"/>
          <w:i w:val="0"/>
          <w:iCs w:val="0"/>
          <w:caps w:val="0"/>
          <w:color w:val="auto"/>
          <w:spacing w:val="0"/>
          <w:sz w:val="32"/>
          <w:szCs w:val="32"/>
          <w:bdr w:val="none" w:color="auto" w:sz="0" w:space="0"/>
          <w:shd w:val="clear" w:fill="FFFFFF"/>
        </w:rPr>
        <w:t>/</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亩以下的，计提比例按不低于</w:t>
      </w:r>
      <w:r>
        <w:rPr>
          <w:rFonts w:hint="eastAsia" w:ascii="仿宋_GB2312" w:hAnsi="仿宋_GB2312" w:eastAsia="仿宋_GB2312" w:cs="仿宋_GB2312"/>
          <w:i w:val="0"/>
          <w:iCs w:val="0"/>
          <w:caps w:val="0"/>
          <w:color w:val="auto"/>
          <w:spacing w:val="0"/>
          <w:sz w:val="32"/>
          <w:szCs w:val="32"/>
          <w:bdr w:val="none" w:color="auto" w:sz="0" w:space="0"/>
          <w:shd w:val="clear" w:fill="FFFFFF"/>
        </w:rPr>
        <w:t>20%</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计提；在</w:t>
      </w:r>
      <w:r>
        <w:rPr>
          <w:rFonts w:hint="eastAsia" w:ascii="仿宋_GB2312" w:hAnsi="仿宋_GB2312" w:eastAsia="仿宋_GB2312" w:cs="仿宋_GB2312"/>
          <w:i w:val="0"/>
          <w:iCs w:val="0"/>
          <w:caps w:val="0"/>
          <w:color w:val="auto"/>
          <w:spacing w:val="0"/>
          <w:sz w:val="32"/>
          <w:szCs w:val="32"/>
          <w:bdr w:val="none" w:color="auto" w:sz="0" w:space="0"/>
          <w:shd w:val="clear" w:fill="FFFFFF"/>
        </w:rPr>
        <w:t>5-10</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万元（含</w:t>
      </w:r>
      <w:r>
        <w:rPr>
          <w:rFonts w:hint="eastAsia" w:ascii="仿宋_GB2312" w:hAnsi="仿宋_GB2312" w:eastAsia="仿宋_GB2312" w:cs="仿宋_GB2312"/>
          <w:i w:val="0"/>
          <w:iCs w:val="0"/>
          <w:caps w:val="0"/>
          <w:color w:val="auto"/>
          <w:spacing w:val="0"/>
          <w:sz w:val="32"/>
          <w:szCs w:val="32"/>
          <w:bdr w:val="none" w:color="auto" w:sz="0" w:space="0"/>
          <w:shd w:val="clear" w:fill="FFFFFF"/>
        </w:rPr>
        <w:t>10</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万元）</w:t>
      </w:r>
      <w:r>
        <w:rPr>
          <w:rFonts w:hint="eastAsia" w:ascii="仿宋_GB2312" w:hAnsi="仿宋_GB2312" w:eastAsia="仿宋_GB2312" w:cs="仿宋_GB2312"/>
          <w:i w:val="0"/>
          <w:iCs w:val="0"/>
          <w:caps w:val="0"/>
          <w:color w:val="auto"/>
          <w:spacing w:val="0"/>
          <w:sz w:val="32"/>
          <w:szCs w:val="32"/>
          <w:bdr w:val="none" w:color="auto" w:sz="0" w:space="0"/>
          <w:shd w:val="clear" w:fill="FFFFFF"/>
        </w:rPr>
        <w:t>/</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亩区间的，按不低于</w:t>
      </w:r>
      <w:r>
        <w:rPr>
          <w:rFonts w:hint="eastAsia" w:ascii="仿宋_GB2312" w:hAnsi="仿宋_GB2312" w:eastAsia="仿宋_GB2312" w:cs="仿宋_GB2312"/>
          <w:i w:val="0"/>
          <w:iCs w:val="0"/>
          <w:caps w:val="0"/>
          <w:color w:val="auto"/>
          <w:spacing w:val="0"/>
          <w:sz w:val="32"/>
          <w:szCs w:val="32"/>
          <w:bdr w:val="none" w:color="auto" w:sz="0" w:space="0"/>
          <w:shd w:val="clear" w:fill="FFFFFF"/>
        </w:rPr>
        <w:t>18%</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计提；在</w:t>
      </w:r>
      <w:r>
        <w:rPr>
          <w:rFonts w:hint="eastAsia" w:ascii="仿宋_GB2312" w:hAnsi="仿宋_GB2312" w:eastAsia="仿宋_GB2312" w:cs="仿宋_GB2312"/>
          <w:i w:val="0"/>
          <w:iCs w:val="0"/>
          <w:caps w:val="0"/>
          <w:color w:val="auto"/>
          <w:spacing w:val="0"/>
          <w:sz w:val="32"/>
          <w:szCs w:val="32"/>
          <w:bdr w:val="none" w:color="auto" w:sz="0" w:space="0"/>
          <w:shd w:val="clear" w:fill="FFFFFF"/>
        </w:rPr>
        <w:t>10-15</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万元（含</w:t>
      </w:r>
      <w:r>
        <w:rPr>
          <w:rFonts w:hint="eastAsia" w:ascii="仿宋_GB2312" w:hAnsi="仿宋_GB2312" w:eastAsia="仿宋_GB2312" w:cs="仿宋_GB2312"/>
          <w:i w:val="0"/>
          <w:iCs w:val="0"/>
          <w:caps w:val="0"/>
          <w:color w:val="auto"/>
          <w:spacing w:val="0"/>
          <w:sz w:val="32"/>
          <w:szCs w:val="32"/>
          <w:bdr w:val="none" w:color="auto" w:sz="0" w:space="0"/>
          <w:shd w:val="clear" w:fill="FFFFFF"/>
        </w:rPr>
        <w:t>15</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万元）</w:t>
      </w:r>
      <w:r>
        <w:rPr>
          <w:rFonts w:hint="eastAsia" w:ascii="仿宋_GB2312" w:hAnsi="仿宋_GB2312" w:eastAsia="仿宋_GB2312" w:cs="仿宋_GB2312"/>
          <w:i w:val="0"/>
          <w:iCs w:val="0"/>
          <w:caps w:val="0"/>
          <w:color w:val="auto"/>
          <w:spacing w:val="0"/>
          <w:sz w:val="32"/>
          <w:szCs w:val="32"/>
          <w:bdr w:val="none" w:color="auto" w:sz="0" w:space="0"/>
          <w:shd w:val="clear" w:fill="FFFFFF"/>
        </w:rPr>
        <w:t>/</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亩区间的，按不低于</w:t>
      </w:r>
      <w:r>
        <w:rPr>
          <w:rFonts w:hint="eastAsia" w:ascii="仿宋_GB2312" w:hAnsi="仿宋_GB2312" w:eastAsia="仿宋_GB2312" w:cs="仿宋_GB2312"/>
          <w:i w:val="0"/>
          <w:iCs w:val="0"/>
          <w:caps w:val="0"/>
          <w:color w:val="auto"/>
          <w:spacing w:val="0"/>
          <w:sz w:val="32"/>
          <w:szCs w:val="32"/>
          <w:bdr w:val="none" w:color="auto" w:sz="0" w:space="0"/>
          <w:shd w:val="clear" w:fill="FFFFFF"/>
        </w:rPr>
        <w:t>15%</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计提；在</w:t>
      </w:r>
      <w:r>
        <w:rPr>
          <w:rFonts w:hint="eastAsia" w:ascii="仿宋_GB2312" w:hAnsi="仿宋_GB2312" w:eastAsia="仿宋_GB2312" w:cs="仿宋_GB2312"/>
          <w:i w:val="0"/>
          <w:iCs w:val="0"/>
          <w:caps w:val="0"/>
          <w:color w:val="auto"/>
          <w:spacing w:val="0"/>
          <w:sz w:val="32"/>
          <w:szCs w:val="32"/>
          <w:bdr w:val="none" w:color="auto" w:sz="0" w:space="0"/>
          <w:shd w:val="clear" w:fill="FFFFFF"/>
        </w:rPr>
        <w:t>15-20</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万元（含</w:t>
      </w:r>
      <w:r>
        <w:rPr>
          <w:rFonts w:hint="eastAsia" w:ascii="仿宋_GB2312" w:hAnsi="仿宋_GB2312" w:eastAsia="仿宋_GB2312" w:cs="仿宋_GB2312"/>
          <w:i w:val="0"/>
          <w:iCs w:val="0"/>
          <w:caps w:val="0"/>
          <w:color w:val="auto"/>
          <w:spacing w:val="0"/>
          <w:sz w:val="32"/>
          <w:szCs w:val="32"/>
          <w:bdr w:val="none" w:color="auto" w:sz="0" w:space="0"/>
          <w:shd w:val="clear" w:fill="FFFFFF"/>
        </w:rPr>
        <w:t>20</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万元）</w:t>
      </w:r>
      <w:r>
        <w:rPr>
          <w:rFonts w:hint="eastAsia" w:ascii="仿宋_GB2312" w:hAnsi="仿宋_GB2312" w:eastAsia="仿宋_GB2312" w:cs="仿宋_GB2312"/>
          <w:i w:val="0"/>
          <w:iCs w:val="0"/>
          <w:caps w:val="0"/>
          <w:color w:val="auto"/>
          <w:spacing w:val="0"/>
          <w:sz w:val="32"/>
          <w:szCs w:val="32"/>
          <w:bdr w:val="none" w:color="auto" w:sz="0" w:space="0"/>
          <w:shd w:val="clear" w:fill="FFFFFF"/>
        </w:rPr>
        <w:t>/</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亩区间的，按不低于</w:t>
      </w:r>
      <w:r>
        <w:rPr>
          <w:rFonts w:hint="eastAsia" w:ascii="仿宋_GB2312" w:hAnsi="仿宋_GB2312" w:eastAsia="仿宋_GB2312" w:cs="仿宋_GB2312"/>
          <w:i w:val="0"/>
          <w:iCs w:val="0"/>
          <w:caps w:val="0"/>
          <w:color w:val="auto"/>
          <w:spacing w:val="0"/>
          <w:sz w:val="32"/>
          <w:szCs w:val="32"/>
          <w:bdr w:val="none" w:color="auto" w:sz="0" w:space="0"/>
          <w:shd w:val="clear" w:fill="FFFFFF"/>
        </w:rPr>
        <w:t>12%</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计提；在</w:t>
      </w:r>
      <w:r>
        <w:rPr>
          <w:rFonts w:hint="eastAsia" w:ascii="仿宋_GB2312" w:hAnsi="仿宋_GB2312" w:eastAsia="仿宋_GB2312" w:cs="仿宋_GB2312"/>
          <w:i w:val="0"/>
          <w:iCs w:val="0"/>
          <w:caps w:val="0"/>
          <w:color w:val="auto"/>
          <w:spacing w:val="0"/>
          <w:sz w:val="32"/>
          <w:szCs w:val="32"/>
          <w:bdr w:val="none" w:color="auto" w:sz="0" w:space="0"/>
          <w:shd w:val="clear" w:fill="FFFFFF"/>
        </w:rPr>
        <w:t>20</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万元</w:t>
      </w:r>
      <w:r>
        <w:rPr>
          <w:rFonts w:hint="eastAsia" w:ascii="仿宋_GB2312" w:hAnsi="仿宋_GB2312" w:eastAsia="仿宋_GB2312" w:cs="仿宋_GB2312"/>
          <w:i w:val="0"/>
          <w:iCs w:val="0"/>
          <w:caps w:val="0"/>
          <w:color w:val="auto"/>
          <w:spacing w:val="0"/>
          <w:sz w:val="32"/>
          <w:szCs w:val="32"/>
          <w:bdr w:val="none" w:color="auto" w:sz="0" w:space="0"/>
          <w:shd w:val="clear" w:fill="FFFFFF"/>
        </w:rPr>
        <w:t>/</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亩以上的，按不低于</w:t>
      </w:r>
      <w:r>
        <w:rPr>
          <w:rFonts w:hint="eastAsia" w:ascii="仿宋_GB2312" w:hAnsi="仿宋_GB2312" w:eastAsia="仿宋_GB2312" w:cs="仿宋_GB2312"/>
          <w:i w:val="0"/>
          <w:iCs w:val="0"/>
          <w:caps w:val="0"/>
          <w:color w:val="auto"/>
          <w:spacing w:val="0"/>
          <w:sz w:val="32"/>
          <w:szCs w:val="32"/>
          <w:bdr w:val="none" w:color="auto" w:sz="0" w:space="0"/>
          <w:shd w:val="clear" w:fill="FFFFFF"/>
        </w:rPr>
        <w:t>10%</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计提。每个市（区）原则上只使用一个平均每亩征收农用地区片综合地价和一个计提比例，具体标准由各市（区）政府根据本地区的经济发展水平、综合财力，以及被征地农民养老保障待遇水平不低于原办法水平等因素综合考虑确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我市征地社保费筹集标准今后根据我市经济社会发展的水平和农用地区片综合地价的调整，以及省的工作部署，及时按照粤府办〔</w:t>
      </w:r>
      <w:r>
        <w:rPr>
          <w:rFonts w:hint="eastAsia" w:ascii="仿宋_GB2312" w:hAnsi="仿宋_GB2312" w:eastAsia="仿宋_GB2312" w:cs="仿宋_GB2312"/>
          <w:i w:val="0"/>
          <w:iCs w:val="0"/>
          <w:caps w:val="0"/>
          <w:color w:val="auto"/>
          <w:spacing w:val="0"/>
          <w:sz w:val="32"/>
          <w:szCs w:val="32"/>
          <w:bdr w:val="none" w:color="auto" w:sz="0" w:space="0"/>
          <w:shd w:val="clear" w:fill="FFFFFF"/>
        </w:rPr>
        <w:t>2021</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w:t>
      </w:r>
      <w:r>
        <w:rPr>
          <w:rFonts w:hint="eastAsia" w:ascii="仿宋_GB2312" w:hAnsi="仿宋_GB2312" w:eastAsia="仿宋_GB2312" w:cs="仿宋_GB2312"/>
          <w:i w:val="0"/>
          <w:iCs w:val="0"/>
          <w:caps w:val="0"/>
          <w:color w:val="auto"/>
          <w:spacing w:val="0"/>
          <w:sz w:val="32"/>
          <w:szCs w:val="32"/>
          <w:bdr w:val="none" w:color="auto" w:sz="0" w:space="0"/>
          <w:shd w:val="clear" w:fill="FFFFFF"/>
        </w:rPr>
        <w:t>22</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号文的规定进行调整。各市（区）可结合本地区实际，适当提高本地区征地社保费标准。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二、按时完成留存资金分配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各市（区）要对本办法实施前已获批项目留存在本地区“被征地农民养老保障资金过渡户”或者乡镇、村集体账户的征地社保资金进行全面清理，确保在</w:t>
      </w:r>
      <w:r>
        <w:rPr>
          <w:rFonts w:hint="eastAsia" w:ascii="仿宋_GB2312" w:hAnsi="仿宋_GB2312" w:eastAsia="仿宋_GB2312" w:cs="仿宋_GB2312"/>
          <w:i w:val="0"/>
          <w:iCs w:val="0"/>
          <w:caps w:val="0"/>
          <w:color w:val="auto"/>
          <w:spacing w:val="0"/>
          <w:sz w:val="32"/>
          <w:szCs w:val="32"/>
          <w:bdr w:val="none" w:color="auto" w:sz="0" w:space="0"/>
          <w:shd w:val="clear" w:fill="FFFFFF"/>
        </w:rPr>
        <w:t>2022</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年</w:t>
      </w:r>
      <w:r>
        <w:rPr>
          <w:rFonts w:hint="eastAsia" w:ascii="仿宋_GB2312" w:hAnsi="仿宋_GB2312" w:eastAsia="仿宋_GB2312" w:cs="仿宋_GB2312"/>
          <w:i w:val="0"/>
          <w:iCs w:val="0"/>
          <w:caps w:val="0"/>
          <w:color w:val="auto"/>
          <w:spacing w:val="0"/>
          <w:sz w:val="32"/>
          <w:szCs w:val="32"/>
          <w:bdr w:val="none" w:color="auto" w:sz="0" w:space="0"/>
          <w:shd w:val="clear" w:fill="FFFFFF"/>
        </w:rPr>
        <w:t>8</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月底前将全部留存资金分配到人。具体进度为：</w:t>
      </w:r>
      <w:r>
        <w:rPr>
          <w:rFonts w:hint="eastAsia" w:ascii="仿宋_GB2312" w:hAnsi="仿宋_GB2312" w:eastAsia="仿宋_GB2312" w:cs="仿宋_GB2312"/>
          <w:i w:val="0"/>
          <w:iCs w:val="0"/>
          <w:caps w:val="0"/>
          <w:color w:val="auto"/>
          <w:spacing w:val="0"/>
          <w:sz w:val="32"/>
          <w:szCs w:val="32"/>
          <w:bdr w:val="none" w:color="auto" w:sz="0" w:space="0"/>
          <w:shd w:val="clear" w:fill="FFFFFF"/>
        </w:rPr>
        <w:t>2021</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年</w:t>
      </w:r>
      <w:r>
        <w:rPr>
          <w:rFonts w:hint="eastAsia" w:ascii="仿宋_GB2312" w:hAnsi="仿宋_GB2312" w:eastAsia="仿宋_GB2312" w:cs="仿宋_GB2312"/>
          <w:i w:val="0"/>
          <w:iCs w:val="0"/>
          <w:caps w:val="0"/>
          <w:color w:val="auto"/>
          <w:spacing w:val="0"/>
          <w:sz w:val="32"/>
          <w:szCs w:val="32"/>
          <w:bdr w:val="none" w:color="auto" w:sz="0" w:space="0"/>
          <w:shd w:val="clear" w:fill="FFFFFF"/>
        </w:rPr>
        <w:t>12</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月底前将不存在分配困难的留存资金全部分配到人，且完成所有留存资金分配任务的</w:t>
      </w:r>
      <w:r>
        <w:rPr>
          <w:rFonts w:hint="eastAsia" w:ascii="仿宋_GB2312" w:hAnsi="仿宋_GB2312" w:eastAsia="仿宋_GB2312" w:cs="仿宋_GB2312"/>
          <w:i w:val="0"/>
          <w:iCs w:val="0"/>
          <w:caps w:val="0"/>
          <w:color w:val="auto"/>
          <w:spacing w:val="0"/>
          <w:sz w:val="32"/>
          <w:szCs w:val="32"/>
          <w:bdr w:val="none" w:color="auto" w:sz="0" w:space="0"/>
          <w:shd w:val="clear" w:fill="FFFFFF"/>
        </w:rPr>
        <w:t>50%</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w:t>
      </w:r>
      <w:r>
        <w:rPr>
          <w:rFonts w:hint="eastAsia" w:ascii="仿宋_GB2312" w:hAnsi="仿宋_GB2312" w:eastAsia="仿宋_GB2312" w:cs="仿宋_GB2312"/>
          <w:i w:val="0"/>
          <w:iCs w:val="0"/>
          <w:caps w:val="0"/>
          <w:color w:val="auto"/>
          <w:spacing w:val="0"/>
          <w:sz w:val="32"/>
          <w:szCs w:val="32"/>
          <w:bdr w:val="none" w:color="auto" w:sz="0" w:space="0"/>
          <w:shd w:val="clear" w:fill="FFFFFF"/>
        </w:rPr>
        <w:t>2022</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年</w:t>
      </w:r>
      <w:r>
        <w:rPr>
          <w:rFonts w:hint="eastAsia" w:ascii="仿宋_GB2312" w:hAnsi="仿宋_GB2312" w:eastAsia="仿宋_GB2312" w:cs="仿宋_GB2312"/>
          <w:i w:val="0"/>
          <w:iCs w:val="0"/>
          <w:caps w:val="0"/>
          <w:color w:val="auto"/>
          <w:spacing w:val="0"/>
          <w:sz w:val="32"/>
          <w:szCs w:val="32"/>
          <w:bdr w:val="none" w:color="auto" w:sz="0" w:space="0"/>
          <w:shd w:val="clear" w:fill="FFFFFF"/>
        </w:rPr>
        <w:t>3</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月底完成所有留存资金分配任务的</w:t>
      </w:r>
      <w:r>
        <w:rPr>
          <w:rFonts w:hint="eastAsia" w:ascii="仿宋_GB2312" w:hAnsi="仿宋_GB2312" w:eastAsia="仿宋_GB2312" w:cs="仿宋_GB2312"/>
          <w:i w:val="0"/>
          <w:iCs w:val="0"/>
          <w:caps w:val="0"/>
          <w:color w:val="auto"/>
          <w:spacing w:val="0"/>
          <w:sz w:val="32"/>
          <w:szCs w:val="32"/>
          <w:bdr w:val="none" w:color="auto" w:sz="0" w:space="0"/>
          <w:shd w:val="clear" w:fill="FFFFFF"/>
        </w:rPr>
        <w:t>80%</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w:t>
      </w:r>
      <w:r>
        <w:rPr>
          <w:rFonts w:hint="eastAsia" w:ascii="仿宋_GB2312" w:hAnsi="仿宋_GB2312" w:eastAsia="仿宋_GB2312" w:cs="仿宋_GB2312"/>
          <w:i w:val="0"/>
          <w:iCs w:val="0"/>
          <w:caps w:val="0"/>
          <w:color w:val="auto"/>
          <w:spacing w:val="0"/>
          <w:sz w:val="32"/>
          <w:szCs w:val="32"/>
          <w:bdr w:val="none" w:color="auto" w:sz="0" w:space="0"/>
          <w:shd w:val="clear" w:fill="FFFFFF"/>
        </w:rPr>
        <w:t>2022</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年</w:t>
      </w:r>
      <w:r>
        <w:rPr>
          <w:rFonts w:hint="eastAsia" w:ascii="仿宋_GB2312" w:hAnsi="仿宋_GB2312" w:eastAsia="仿宋_GB2312" w:cs="仿宋_GB2312"/>
          <w:i w:val="0"/>
          <w:iCs w:val="0"/>
          <w:caps w:val="0"/>
          <w:color w:val="auto"/>
          <w:spacing w:val="0"/>
          <w:sz w:val="32"/>
          <w:szCs w:val="32"/>
          <w:bdr w:val="none" w:color="auto" w:sz="0" w:space="0"/>
          <w:shd w:val="clear" w:fill="FFFFFF"/>
        </w:rPr>
        <w:t>5</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月底完成资金分配任务的</w:t>
      </w:r>
      <w:r>
        <w:rPr>
          <w:rFonts w:hint="eastAsia" w:ascii="仿宋_GB2312" w:hAnsi="仿宋_GB2312" w:eastAsia="仿宋_GB2312" w:cs="仿宋_GB2312"/>
          <w:i w:val="0"/>
          <w:iCs w:val="0"/>
          <w:caps w:val="0"/>
          <w:color w:val="auto"/>
          <w:spacing w:val="0"/>
          <w:sz w:val="32"/>
          <w:szCs w:val="32"/>
          <w:bdr w:val="none" w:color="auto" w:sz="0" w:space="0"/>
          <w:shd w:val="clear" w:fill="FFFFFF"/>
        </w:rPr>
        <w:t>90%</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w:t>
      </w:r>
      <w:r>
        <w:rPr>
          <w:rFonts w:hint="eastAsia" w:ascii="仿宋_GB2312" w:hAnsi="仿宋_GB2312" w:eastAsia="仿宋_GB2312" w:cs="仿宋_GB2312"/>
          <w:i w:val="0"/>
          <w:iCs w:val="0"/>
          <w:caps w:val="0"/>
          <w:color w:val="auto"/>
          <w:spacing w:val="0"/>
          <w:sz w:val="32"/>
          <w:szCs w:val="32"/>
          <w:bdr w:val="none" w:color="auto" w:sz="0" w:space="0"/>
          <w:shd w:val="clear" w:fill="FFFFFF"/>
        </w:rPr>
        <w:t>2022</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年</w:t>
      </w:r>
      <w:r>
        <w:rPr>
          <w:rFonts w:hint="eastAsia" w:ascii="仿宋_GB2312" w:hAnsi="仿宋_GB2312" w:eastAsia="仿宋_GB2312" w:cs="仿宋_GB2312"/>
          <w:i w:val="0"/>
          <w:iCs w:val="0"/>
          <w:caps w:val="0"/>
          <w:color w:val="auto"/>
          <w:spacing w:val="0"/>
          <w:sz w:val="32"/>
          <w:szCs w:val="32"/>
          <w:bdr w:val="none" w:color="auto" w:sz="0" w:space="0"/>
          <w:shd w:val="clear" w:fill="FFFFFF"/>
        </w:rPr>
        <w:t>8</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月底完成资金分配任务的</w:t>
      </w:r>
      <w:r>
        <w:rPr>
          <w:rFonts w:hint="eastAsia" w:ascii="仿宋_GB2312" w:hAnsi="仿宋_GB2312" w:eastAsia="仿宋_GB2312" w:cs="仿宋_GB2312"/>
          <w:i w:val="0"/>
          <w:iCs w:val="0"/>
          <w:caps w:val="0"/>
          <w:color w:val="auto"/>
          <w:spacing w:val="0"/>
          <w:sz w:val="32"/>
          <w:szCs w:val="32"/>
          <w:bdr w:val="none" w:color="auto" w:sz="0" w:space="0"/>
          <w:shd w:val="clear" w:fill="FFFFFF"/>
        </w:rPr>
        <w:t>100%</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，努力争取提早完成整改。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市人力资源社会保障局、市自然资源局要对各市（区）完成情况实行月调度制度，并视情况实施发函提醒、暂停办理建设用地社保审核报批、减少新增土地用地指标等分配进度约束，进一步压实各市（区）政府履行留存资金分配的主体责任。对</w:t>
      </w:r>
      <w:r>
        <w:rPr>
          <w:rFonts w:hint="eastAsia" w:ascii="仿宋_GB2312" w:hAnsi="仿宋_GB2312" w:eastAsia="仿宋_GB2312" w:cs="仿宋_GB2312"/>
          <w:i w:val="0"/>
          <w:iCs w:val="0"/>
          <w:caps w:val="0"/>
          <w:color w:val="auto"/>
          <w:spacing w:val="0"/>
          <w:sz w:val="32"/>
          <w:szCs w:val="32"/>
          <w:bdr w:val="none" w:color="auto" w:sz="0" w:space="0"/>
          <w:shd w:val="clear" w:fill="FFFFFF"/>
        </w:rPr>
        <w:t>2021</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年</w:t>
      </w:r>
      <w:r>
        <w:rPr>
          <w:rFonts w:hint="eastAsia" w:ascii="仿宋_GB2312" w:hAnsi="仿宋_GB2312" w:eastAsia="仿宋_GB2312" w:cs="仿宋_GB2312"/>
          <w:i w:val="0"/>
          <w:iCs w:val="0"/>
          <w:caps w:val="0"/>
          <w:color w:val="auto"/>
          <w:spacing w:val="0"/>
          <w:sz w:val="32"/>
          <w:szCs w:val="32"/>
          <w:bdr w:val="none" w:color="auto" w:sz="0" w:space="0"/>
          <w:shd w:val="clear" w:fill="FFFFFF"/>
        </w:rPr>
        <w:t>9</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月底、</w:t>
      </w:r>
      <w:r>
        <w:rPr>
          <w:rFonts w:hint="eastAsia" w:ascii="仿宋_GB2312" w:hAnsi="仿宋_GB2312" w:eastAsia="仿宋_GB2312" w:cs="仿宋_GB2312"/>
          <w:i w:val="0"/>
          <w:iCs w:val="0"/>
          <w:caps w:val="0"/>
          <w:color w:val="auto"/>
          <w:spacing w:val="0"/>
          <w:sz w:val="32"/>
          <w:szCs w:val="32"/>
          <w:bdr w:val="none" w:color="auto" w:sz="0" w:space="0"/>
          <w:shd w:val="clear" w:fill="FFFFFF"/>
        </w:rPr>
        <w:t>2021</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年</w:t>
      </w:r>
      <w:r>
        <w:rPr>
          <w:rFonts w:hint="eastAsia" w:ascii="仿宋_GB2312" w:hAnsi="仿宋_GB2312" w:eastAsia="仿宋_GB2312" w:cs="仿宋_GB2312"/>
          <w:i w:val="0"/>
          <w:iCs w:val="0"/>
          <w:caps w:val="0"/>
          <w:color w:val="auto"/>
          <w:spacing w:val="0"/>
          <w:sz w:val="32"/>
          <w:szCs w:val="32"/>
          <w:bdr w:val="none" w:color="auto" w:sz="0" w:space="0"/>
          <w:shd w:val="clear" w:fill="FFFFFF"/>
        </w:rPr>
        <w:t>12</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月底留存资金分配进度缓慢的市（区），由市人力资源社会保障局发出书面提醒函，督促相关市（区）政府加快资金分配进度。对</w:t>
      </w:r>
      <w:r>
        <w:rPr>
          <w:rFonts w:hint="eastAsia" w:ascii="仿宋_GB2312" w:hAnsi="仿宋_GB2312" w:eastAsia="仿宋_GB2312" w:cs="仿宋_GB2312"/>
          <w:i w:val="0"/>
          <w:iCs w:val="0"/>
          <w:caps w:val="0"/>
          <w:color w:val="auto"/>
          <w:spacing w:val="0"/>
          <w:sz w:val="32"/>
          <w:szCs w:val="32"/>
          <w:bdr w:val="none" w:color="auto" w:sz="0" w:space="0"/>
          <w:shd w:val="clear" w:fill="FFFFFF"/>
        </w:rPr>
        <w:t>2022</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年</w:t>
      </w:r>
      <w:r>
        <w:rPr>
          <w:rFonts w:hint="eastAsia" w:ascii="仿宋_GB2312" w:hAnsi="仿宋_GB2312" w:eastAsia="仿宋_GB2312" w:cs="仿宋_GB2312"/>
          <w:i w:val="0"/>
          <w:iCs w:val="0"/>
          <w:caps w:val="0"/>
          <w:color w:val="auto"/>
          <w:spacing w:val="0"/>
          <w:sz w:val="32"/>
          <w:szCs w:val="32"/>
          <w:bdr w:val="none" w:color="auto" w:sz="0" w:space="0"/>
          <w:shd w:val="clear" w:fill="FFFFFF"/>
        </w:rPr>
        <w:t>3</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月底留存资金分配进度未达任务目标的镇（街），由市人力资源社会保障局发出书面提醒函并暂停办理有关镇（街）建设用地（非市以上重点项目）社保审核报批手续，直至所在市（区）政府出具书面的完成整改意见为止。对</w:t>
      </w:r>
      <w:r>
        <w:rPr>
          <w:rFonts w:hint="eastAsia" w:ascii="仿宋_GB2312" w:hAnsi="仿宋_GB2312" w:eastAsia="仿宋_GB2312" w:cs="仿宋_GB2312"/>
          <w:i w:val="0"/>
          <w:iCs w:val="0"/>
          <w:caps w:val="0"/>
          <w:color w:val="auto"/>
          <w:spacing w:val="0"/>
          <w:sz w:val="32"/>
          <w:szCs w:val="32"/>
          <w:bdr w:val="none" w:color="auto" w:sz="0" w:space="0"/>
          <w:shd w:val="clear" w:fill="FFFFFF"/>
        </w:rPr>
        <w:t>2022</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年</w:t>
      </w:r>
      <w:r>
        <w:rPr>
          <w:rFonts w:hint="eastAsia" w:ascii="仿宋_GB2312" w:hAnsi="仿宋_GB2312" w:eastAsia="仿宋_GB2312" w:cs="仿宋_GB2312"/>
          <w:i w:val="0"/>
          <w:iCs w:val="0"/>
          <w:caps w:val="0"/>
          <w:color w:val="auto"/>
          <w:spacing w:val="0"/>
          <w:sz w:val="32"/>
          <w:szCs w:val="32"/>
          <w:bdr w:val="none" w:color="auto" w:sz="0" w:space="0"/>
          <w:shd w:val="clear" w:fill="FFFFFF"/>
        </w:rPr>
        <w:t>5</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月底留存资金分配进度未达任务目标的市（区），由市人力资源社会保障局发出书面提醒函并暂停办理有关市（区）建设用地（非省以上重点项目）社保审核报批手续，直至所在市（区）分配进度达到任务目标为止。对</w:t>
      </w:r>
      <w:r>
        <w:rPr>
          <w:rFonts w:hint="eastAsia" w:ascii="仿宋_GB2312" w:hAnsi="仿宋_GB2312" w:eastAsia="仿宋_GB2312" w:cs="仿宋_GB2312"/>
          <w:i w:val="0"/>
          <w:iCs w:val="0"/>
          <w:caps w:val="0"/>
          <w:color w:val="auto"/>
          <w:spacing w:val="0"/>
          <w:sz w:val="32"/>
          <w:szCs w:val="32"/>
          <w:bdr w:val="none" w:color="auto" w:sz="0" w:space="0"/>
          <w:shd w:val="clear" w:fill="FFFFFF"/>
        </w:rPr>
        <w:t>2022</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年</w:t>
      </w:r>
      <w:r>
        <w:rPr>
          <w:rFonts w:hint="eastAsia" w:ascii="仿宋_GB2312" w:hAnsi="仿宋_GB2312" w:eastAsia="仿宋_GB2312" w:cs="仿宋_GB2312"/>
          <w:i w:val="0"/>
          <w:iCs w:val="0"/>
          <w:caps w:val="0"/>
          <w:color w:val="auto"/>
          <w:spacing w:val="0"/>
          <w:sz w:val="32"/>
          <w:szCs w:val="32"/>
          <w:bdr w:val="none" w:color="auto" w:sz="0" w:space="0"/>
          <w:shd w:val="clear" w:fill="FFFFFF"/>
        </w:rPr>
        <w:t>8</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月底前未按时完成留存资金分配工作的市（区），由市人力资源社会保障局、市自然资源局联合报请市政府，减少其新增土地用地指标，由市政府通报限期整改，并暂停办理建设用地社保审核报批手续，直至留存资金分配工作完成为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三、其他事项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（一）本通知自</w:t>
      </w:r>
      <w:r>
        <w:rPr>
          <w:rFonts w:hint="eastAsia" w:ascii="仿宋_GB2312" w:hAnsi="仿宋_GB2312" w:eastAsia="仿宋_GB2312" w:cs="仿宋_GB2312"/>
          <w:i w:val="0"/>
          <w:iCs w:val="0"/>
          <w:caps w:val="0"/>
          <w:color w:val="auto"/>
          <w:spacing w:val="0"/>
          <w:sz w:val="32"/>
          <w:szCs w:val="32"/>
          <w:bdr w:val="none" w:color="auto" w:sz="0" w:space="0"/>
          <w:shd w:val="clear" w:fill="FFFFFF"/>
        </w:rPr>
        <w:t>2021</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年</w:t>
      </w:r>
      <w:r>
        <w:rPr>
          <w:rFonts w:hint="eastAsia" w:ascii="仿宋_GB2312" w:hAnsi="仿宋_GB2312" w:eastAsia="仿宋_GB2312" w:cs="仿宋_GB2312"/>
          <w:i w:val="0"/>
          <w:iCs w:val="0"/>
          <w:caps w:val="0"/>
          <w:color w:val="auto"/>
          <w:spacing w:val="0"/>
          <w:sz w:val="32"/>
          <w:szCs w:val="32"/>
          <w:bdr w:val="none" w:color="auto" w:sz="0" w:space="0"/>
          <w:shd w:val="clear" w:fill="FFFFFF"/>
        </w:rPr>
        <w:t>8</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月</w:t>
      </w:r>
      <w:r>
        <w:rPr>
          <w:rFonts w:hint="eastAsia" w:ascii="仿宋_GB2312" w:hAnsi="仿宋_GB2312" w:eastAsia="仿宋_GB2312" w:cs="仿宋_GB2312"/>
          <w:i w:val="0"/>
          <w:iCs w:val="0"/>
          <w:caps w:val="0"/>
          <w:color w:val="auto"/>
          <w:spacing w:val="0"/>
          <w:sz w:val="32"/>
          <w:szCs w:val="32"/>
          <w:bdr w:val="none" w:color="auto" w:sz="0" w:space="0"/>
          <w:shd w:val="clear" w:fill="FFFFFF"/>
        </w:rPr>
        <w:t>1</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日起实施。本通知未作规定的“征地社保费补贴对象认定、征地社保费发放、征地社保费管理”等事项按粤府办〔</w:t>
      </w:r>
      <w:r>
        <w:rPr>
          <w:rFonts w:hint="eastAsia" w:ascii="仿宋_GB2312" w:hAnsi="仿宋_GB2312" w:eastAsia="仿宋_GB2312" w:cs="仿宋_GB2312"/>
          <w:i w:val="0"/>
          <w:iCs w:val="0"/>
          <w:caps w:val="0"/>
          <w:color w:val="auto"/>
          <w:spacing w:val="0"/>
          <w:sz w:val="32"/>
          <w:szCs w:val="32"/>
          <w:bdr w:val="none" w:color="auto" w:sz="0" w:space="0"/>
          <w:shd w:val="clear" w:fill="FFFFFF"/>
        </w:rPr>
        <w:t>2021</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w:t>
      </w:r>
      <w:r>
        <w:rPr>
          <w:rFonts w:hint="eastAsia" w:ascii="仿宋_GB2312" w:hAnsi="仿宋_GB2312" w:eastAsia="仿宋_GB2312" w:cs="仿宋_GB2312"/>
          <w:i w:val="0"/>
          <w:iCs w:val="0"/>
          <w:caps w:val="0"/>
          <w:color w:val="auto"/>
          <w:spacing w:val="0"/>
          <w:sz w:val="32"/>
          <w:szCs w:val="32"/>
          <w:bdr w:val="none" w:color="auto" w:sz="0" w:space="0"/>
          <w:shd w:val="clear" w:fill="FFFFFF"/>
        </w:rPr>
        <w:t>22</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号文的规定执行。各市（区）要结合本地区实际情况，制定具体可行的实施办法，并于</w:t>
      </w:r>
      <w:r>
        <w:rPr>
          <w:rFonts w:hint="eastAsia" w:ascii="仿宋_GB2312" w:hAnsi="仿宋_GB2312" w:eastAsia="仿宋_GB2312" w:cs="仿宋_GB2312"/>
          <w:i w:val="0"/>
          <w:iCs w:val="0"/>
          <w:caps w:val="0"/>
          <w:color w:val="auto"/>
          <w:spacing w:val="0"/>
          <w:sz w:val="32"/>
          <w:szCs w:val="32"/>
          <w:bdr w:val="none" w:color="auto" w:sz="0" w:space="0"/>
          <w:shd w:val="clear" w:fill="FFFFFF"/>
        </w:rPr>
        <w:t>2021</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年</w:t>
      </w:r>
      <w:r>
        <w:rPr>
          <w:rFonts w:hint="eastAsia" w:ascii="仿宋_GB2312" w:hAnsi="仿宋_GB2312" w:eastAsia="仿宋_GB2312" w:cs="仿宋_GB2312"/>
          <w:i w:val="0"/>
          <w:iCs w:val="0"/>
          <w:caps w:val="0"/>
          <w:color w:val="auto"/>
          <w:spacing w:val="0"/>
          <w:sz w:val="32"/>
          <w:szCs w:val="32"/>
          <w:bdr w:val="none" w:color="auto" w:sz="0" w:space="0"/>
          <w:shd w:val="clear" w:fill="FFFFFF"/>
        </w:rPr>
        <w:t>11</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月底前报市人力资源社会保障局备案。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（二）本通知实施前已签订征地补偿安置协议，但在本办法实施后批复的征地项目，执行原征地社保政策，按原政策规定确定征地社保保障对象，落实征地社保费分配。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（三）粤府办〔</w:t>
      </w:r>
      <w:r>
        <w:rPr>
          <w:rFonts w:hint="eastAsia" w:ascii="仿宋_GB2312" w:hAnsi="仿宋_GB2312" w:eastAsia="仿宋_GB2312" w:cs="仿宋_GB2312"/>
          <w:i w:val="0"/>
          <w:iCs w:val="0"/>
          <w:caps w:val="0"/>
          <w:color w:val="auto"/>
          <w:spacing w:val="0"/>
          <w:sz w:val="32"/>
          <w:szCs w:val="32"/>
          <w:bdr w:val="none" w:color="auto" w:sz="0" w:space="0"/>
          <w:shd w:val="clear" w:fill="FFFFFF"/>
        </w:rPr>
        <w:t>2021</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w:t>
      </w:r>
      <w:r>
        <w:rPr>
          <w:rFonts w:hint="eastAsia" w:ascii="仿宋_GB2312" w:hAnsi="仿宋_GB2312" w:eastAsia="仿宋_GB2312" w:cs="仿宋_GB2312"/>
          <w:i w:val="0"/>
          <w:iCs w:val="0"/>
          <w:caps w:val="0"/>
          <w:color w:val="auto"/>
          <w:spacing w:val="0"/>
          <w:sz w:val="32"/>
          <w:szCs w:val="32"/>
          <w:bdr w:val="none" w:color="auto" w:sz="0" w:space="0"/>
          <w:shd w:val="clear" w:fill="FFFFFF"/>
        </w:rPr>
        <w:t>22</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号文实施至本通知正式印发前，属于粤府办〔</w:t>
      </w:r>
      <w:r>
        <w:rPr>
          <w:rFonts w:hint="eastAsia" w:ascii="仿宋_GB2312" w:hAnsi="仿宋_GB2312" w:eastAsia="仿宋_GB2312" w:cs="仿宋_GB2312"/>
          <w:i w:val="0"/>
          <w:iCs w:val="0"/>
          <w:caps w:val="0"/>
          <w:color w:val="auto"/>
          <w:spacing w:val="0"/>
          <w:sz w:val="32"/>
          <w:szCs w:val="32"/>
          <w:bdr w:val="none" w:color="auto" w:sz="0" w:space="0"/>
          <w:shd w:val="clear" w:fill="FFFFFF"/>
        </w:rPr>
        <w:t>2021</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w:t>
      </w:r>
      <w:r>
        <w:rPr>
          <w:rFonts w:hint="eastAsia" w:ascii="仿宋_GB2312" w:hAnsi="仿宋_GB2312" w:eastAsia="仿宋_GB2312" w:cs="仿宋_GB2312"/>
          <w:i w:val="0"/>
          <w:iCs w:val="0"/>
          <w:caps w:val="0"/>
          <w:color w:val="auto"/>
          <w:spacing w:val="0"/>
          <w:sz w:val="32"/>
          <w:szCs w:val="32"/>
          <w:bdr w:val="none" w:color="auto" w:sz="0" w:space="0"/>
          <w:shd w:val="clear" w:fill="FFFFFF"/>
        </w:rPr>
        <w:t>22</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号文新办法适用对象，但已按江府办〔</w:t>
      </w:r>
      <w:r>
        <w:rPr>
          <w:rFonts w:hint="eastAsia" w:ascii="仿宋_GB2312" w:hAnsi="仿宋_GB2312" w:eastAsia="仿宋_GB2312" w:cs="仿宋_GB2312"/>
          <w:i w:val="0"/>
          <w:iCs w:val="0"/>
          <w:caps w:val="0"/>
          <w:color w:val="auto"/>
          <w:spacing w:val="0"/>
          <w:sz w:val="32"/>
          <w:szCs w:val="32"/>
          <w:bdr w:val="none" w:color="auto" w:sz="0" w:space="0"/>
          <w:shd w:val="clear" w:fill="FFFFFF"/>
        </w:rPr>
        <w:t>2010</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w:t>
      </w:r>
      <w:r>
        <w:rPr>
          <w:rFonts w:hint="eastAsia" w:ascii="仿宋_GB2312" w:hAnsi="仿宋_GB2312" w:eastAsia="仿宋_GB2312" w:cs="仿宋_GB2312"/>
          <w:i w:val="0"/>
          <w:iCs w:val="0"/>
          <w:caps w:val="0"/>
          <w:color w:val="auto"/>
          <w:spacing w:val="0"/>
          <w:sz w:val="32"/>
          <w:szCs w:val="32"/>
          <w:bdr w:val="none" w:color="auto" w:sz="0" w:space="0"/>
          <w:shd w:val="clear" w:fill="FFFFFF"/>
        </w:rPr>
        <w:t>118</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号文办法计提保障资金的征地项目，可按规定进行清算，多退少补。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四）各市（区）政府要妥善处理好本办法实施前的征地社保相关事项，实现新老政策平稳衔接。要认真研判政策实施过程中可能出现的风险，制订应急工作预案，采取有效应对措施，努力将风险化解在萌芽阶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560" w:lineRule="exact"/>
        <w:ind w:left="0" w:right="446" w:firstLine="640" w:firstLineChars="200"/>
        <w:jc w:val="righ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江门市人民政府办公室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50" w:afterAutospacing="0" w:line="560" w:lineRule="exact"/>
        <w:ind w:left="0" w:right="836" w:firstLine="640" w:firstLineChars="200"/>
        <w:jc w:val="righ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2021</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年</w:t>
      </w:r>
      <w:r>
        <w:rPr>
          <w:rFonts w:hint="eastAsia" w:ascii="仿宋_GB2312" w:hAnsi="仿宋_GB2312" w:eastAsia="仿宋_GB2312" w:cs="仿宋_GB2312"/>
          <w:i w:val="0"/>
          <w:iCs w:val="0"/>
          <w:caps w:val="0"/>
          <w:color w:val="auto"/>
          <w:spacing w:val="0"/>
          <w:sz w:val="32"/>
          <w:szCs w:val="32"/>
          <w:bdr w:val="none" w:color="auto" w:sz="0" w:space="0"/>
          <w:shd w:val="clear" w:fill="FFFFFF"/>
        </w:rPr>
        <w:t>9</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月</w:t>
      </w:r>
      <w:r>
        <w:rPr>
          <w:rFonts w:hint="eastAsia" w:ascii="仿宋_GB2312" w:hAnsi="仿宋_GB2312" w:eastAsia="仿宋_GB2312" w:cs="仿宋_GB2312"/>
          <w:i w:val="0"/>
          <w:iCs w:val="0"/>
          <w:caps w:val="0"/>
          <w:color w:val="auto"/>
          <w:spacing w:val="0"/>
          <w:sz w:val="32"/>
          <w:szCs w:val="32"/>
          <w:bdr w:val="none" w:color="auto" w:sz="0" w:space="0"/>
          <w:shd w:val="clear" w:fill="FFFFFF"/>
        </w:rPr>
        <w:t>28</w:t>
      </w:r>
      <w:r>
        <w:rPr>
          <w:rFonts w:hint="eastAsia" w:ascii="仿宋_GB2312" w:hAnsi="仿宋_GB2312" w:eastAsia="仿宋_GB2312" w:cs="仿宋_GB2312"/>
          <w:i w:val="0"/>
          <w:iCs w:val="0"/>
          <w:caps w:val="0"/>
          <w:color w:val="auto"/>
          <w:spacing w:val="0"/>
          <w:sz w:val="32"/>
          <w:szCs w:val="32"/>
          <w:bdr w:val="none" w:color="auto" w:sz="0" w:space="0"/>
          <w:shd w:val="clear" w:fill="FFFFFF"/>
          <w:lang w:eastAsia="zh-CN"/>
        </w:rPr>
        <w:t>日</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cursiv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3B1993"/>
    <w:rsid w:val="4F3B1993"/>
    <w:rsid w:val="568F74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2022-04-12T06:17:00Z</dcterms:created>
  <dc:creator>程圆圆</dc:creator>
  <cp:lastModifiedBy>程圆圆</cp:lastModifiedBy>
  <dcterms:modified xsi:type="dcterms:W3CDTF">2022-04-12T10:04:07Z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8E75A89BBABF4E44B34A7220D7389527</vt:lpwstr>
  </property>
</Properties>
</file>