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宋体"/>
          <w:color w:val="000000"/>
          <w:kern w:val="0"/>
          <w:sz w:val="36"/>
          <w:szCs w:val="28"/>
        </w:rPr>
      </w:pPr>
      <w:r>
        <w:rPr>
          <w:rFonts w:hint="eastAsia" w:ascii="华文中宋" w:hAnsi="华文中宋" w:eastAsia="华文中宋" w:cs="宋体"/>
          <w:color w:val="000000"/>
          <w:kern w:val="0"/>
          <w:sz w:val="36"/>
          <w:szCs w:val="28"/>
          <w:lang w:eastAsia="zh-CN"/>
        </w:rPr>
        <w:t>公共文化服务</w:t>
      </w:r>
      <w:r>
        <w:rPr>
          <w:rFonts w:hint="eastAsia" w:ascii="华文中宋" w:hAnsi="华文中宋" w:eastAsia="华文中宋" w:cs="宋体"/>
          <w:color w:val="000000"/>
          <w:kern w:val="0"/>
          <w:sz w:val="36"/>
          <w:szCs w:val="28"/>
        </w:rPr>
        <w:t>领域基层政务公开标准目录（样表）</w:t>
      </w:r>
    </w:p>
    <w:tbl>
      <w:tblPr>
        <w:tblStyle w:val="2"/>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2"/>
        <w:gridCol w:w="709"/>
        <w:gridCol w:w="1285"/>
        <w:gridCol w:w="1894"/>
        <w:gridCol w:w="1368"/>
        <w:gridCol w:w="957"/>
        <w:gridCol w:w="1050"/>
        <w:gridCol w:w="2625"/>
        <w:gridCol w:w="719"/>
        <w:gridCol w:w="428"/>
        <w:gridCol w:w="450"/>
        <w:gridCol w:w="489"/>
        <w:gridCol w:w="454"/>
        <w:gridCol w:w="451"/>
        <w:gridCol w:w="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502" w:type="dxa"/>
            <w:vMerge w:val="restart"/>
            <w:noWrap w:val="0"/>
            <w:vAlign w:val="center"/>
          </w:tcPr>
          <w:p>
            <w:pPr>
              <w:widowControl/>
              <w:jc w:val="center"/>
              <w:rPr>
                <w:rFonts w:ascii="Times New Roman" w:hAnsi="Times New Roman"/>
                <w:color w:val="000000"/>
                <w:kern w:val="0"/>
                <w:sz w:val="22"/>
              </w:rPr>
            </w:pPr>
            <w:r>
              <w:rPr>
                <w:rFonts w:hint="eastAsia" w:ascii="黑体" w:hAnsi="宋体" w:eastAsia="黑体" w:cs="宋体"/>
                <w:color w:val="000000"/>
                <w:kern w:val="0"/>
                <w:sz w:val="22"/>
              </w:rPr>
              <w:t>序号</w:t>
            </w:r>
          </w:p>
        </w:tc>
        <w:tc>
          <w:tcPr>
            <w:tcW w:w="1994"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1894"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w:t>
            </w:r>
          </w:p>
        </w:tc>
        <w:tc>
          <w:tcPr>
            <w:tcW w:w="1368" w:type="dxa"/>
            <w:vMerge w:val="restart"/>
            <w:noWrap w:val="0"/>
            <w:vAlign w:val="center"/>
          </w:tcPr>
          <w:p>
            <w:pPr>
              <w:widowControl/>
              <w:jc w:val="center"/>
              <w:rPr>
                <w:rFonts w:ascii="黑体" w:hAnsi="宋体" w:eastAsia="黑体" w:cs="宋体"/>
                <w:color w:val="000000"/>
                <w:kern w:val="0"/>
                <w:sz w:val="22"/>
              </w:rPr>
            </w:pPr>
            <w:bookmarkStart w:id="0" w:name="_GoBack"/>
            <w:bookmarkEnd w:id="0"/>
            <w:r>
              <w:rPr>
                <w:rFonts w:hint="eastAsia" w:ascii="黑体" w:hAnsi="宋体" w:eastAsia="黑体" w:cs="宋体"/>
                <w:color w:val="000000"/>
                <w:kern w:val="0"/>
                <w:sz w:val="22"/>
              </w:rPr>
              <w:t>公开依据</w:t>
            </w:r>
          </w:p>
        </w:tc>
        <w:tc>
          <w:tcPr>
            <w:tcW w:w="957"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5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625" w:type="dxa"/>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147"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939"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45" w:type="dxa"/>
            <w:gridSpan w:val="3"/>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jc w:val="center"/>
        </w:trPr>
        <w:tc>
          <w:tcPr>
            <w:tcW w:w="502" w:type="dxa"/>
            <w:vMerge w:val="continue"/>
            <w:noWrap w:val="0"/>
            <w:vAlign w:val="center"/>
          </w:tcPr>
          <w:p>
            <w:pPr>
              <w:widowControl/>
              <w:jc w:val="center"/>
              <w:rPr>
                <w:rFonts w:ascii="Times New Roman" w:hAnsi="Times New Roman"/>
                <w:color w:val="000000"/>
                <w:kern w:val="0"/>
                <w:sz w:val="22"/>
              </w:rPr>
            </w:pPr>
          </w:p>
        </w:tc>
        <w:tc>
          <w:tcPr>
            <w:tcW w:w="709"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285"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w:t>
            </w:r>
          </w:p>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事项</w:t>
            </w:r>
          </w:p>
        </w:tc>
        <w:tc>
          <w:tcPr>
            <w:tcW w:w="1894" w:type="dxa"/>
            <w:vMerge w:val="continue"/>
            <w:tcBorders/>
            <w:noWrap w:val="0"/>
            <w:vAlign w:val="center"/>
          </w:tcPr>
          <w:p>
            <w:pPr>
              <w:widowControl/>
              <w:jc w:val="left"/>
              <w:rPr>
                <w:rFonts w:ascii="黑体" w:hAnsi="宋体" w:eastAsia="黑体" w:cs="宋体"/>
                <w:color w:val="000000"/>
                <w:kern w:val="0"/>
                <w:sz w:val="22"/>
              </w:rPr>
            </w:pPr>
          </w:p>
        </w:tc>
        <w:tc>
          <w:tcPr>
            <w:tcW w:w="1368" w:type="dxa"/>
            <w:vMerge w:val="continue"/>
            <w:tcBorders/>
            <w:noWrap w:val="0"/>
            <w:vAlign w:val="center"/>
          </w:tcPr>
          <w:p>
            <w:pPr>
              <w:widowControl/>
              <w:jc w:val="left"/>
              <w:rPr>
                <w:rFonts w:ascii="黑体" w:hAnsi="宋体" w:eastAsia="黑体" w:cs="宋体"/>
                <w:color w:val="000000"/>
                <w:kern w:val="0"/>
                <w:sz w:val="22"/>
              </w:rPr>
            </w:pPr>
          </w:p>
        </w:tc>
        <w:tc>
          <w:tcPr>
            <w:tcW w:w="957" w:type="dxa"/>
            <w:vMerge w:val="continue"/>
            <w:tcBorders/>
            <w:noWrap w:val="0"/>
            <w:vAlign w:val="center"/>
          </w:tcPr>
          <w:p>
            <w:pPr>
              <w:widowControl/>
              <w:jc w:val="left"/>
              <w:rPr>
                <w:rFonts w:ascii="黑体" w:hAnsi="宋体" w:eastAsia="黑体" w:cs="宋体"/>
                <w:color w:val="000000"/>
                <w:kern w:val="0"/>
                <w:sz w:val="22"/>
              </w:rPr>
            </w:pPr>
          </w:p>
        </w:tc>
        <w:tc>
          <w:tcPr>
            <w:tcW w:w="1050" w:type="dxa"/>
            <w:vMerge w:val="continue"/>
            <w:tcBorders/>
            <w:noWrap w:val="0"/>
            <w:vAlign w:val="center"/>
          </w:tcPr>
          <w:p>
            <w:pPr>
              <w:widowControl/>
              <w:jc w:val="left"/>
              <w:rPr>
                <w:rFonts w:ascii="黑体" w:hAnsi="宋体" w:eastAsia="黑体" w:cs="宋体"/>
                <w:color w:val="000000"/>
                <w:kern w:val="0"/>
                <w:sz w:val="22"/>
              </w:rPr>
            </w:pPr>
          </w:p>
        </w:tc>
        <w:tc>
          <w:tcPr>
            <w:tcW w:w="2625" w:type="dxa"/>
            <w:vMerge w:val="continue"/>
            <w:tcBorders/>
            <w:noWrap w:val="0"/>
            <w:vAlign w:val="center"/>
          </w:tcPr>
          <w:p>
            <w:pPr>
              <w:widowControl/>
              <w:jc w:val="left"/>
              <w:rPr>
                <w:rFonts w:ascii="黑体" w:hAnsi="宋体" w:eastAsia="黑体" w:cs="宋体"/>
                <w:kern w:val="0"/>
                <w:sz w:val="22"/>
              </w:rPr>
            </w:pPr>
          </w:p>
        </w:tc>
        <w:tc>
          <w:tcPr>
            <w:tcW w:w="719"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428"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5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489"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454" w:type="dxa"/>
            <w:noWrap w:val="0"/>
            <w:vAlign w:val="center"/>
          </w:tcPr>
          <w:p>
            <w:pPr>
              <w:widowControl/>
              <w:jc w:val="center"/>
              <w:rPr>
                <w:rFonts w:hint="eastAsia" w:ascii="黑体" w:hAnsi="宋体" w:eastAsia="黑体" w:cs="宋体"/>
                <w:color w:val="000000"/>
                <w:kern w:val="0"/>
                <w:sz w:val="22"/>
              </w:rPr>
            </w:pPr>
            <w:r>
              <w:rPr>
                <w:rFonts w:hint="eastAsia" w:ascii="宋体" w:hAnsi="宋体" w:eastAsia="宋体" w:cs="宋体"/>
                <w:b/>
                <w:bCs/>
                <w:color w:val="000000"/>
                <w:kern w:val="0"/>
                <w:sz w:val="18"/>
                <w:szCs w:val="18"/>
              </w:rPr>
              <w:t>县级</w:t>
            </w:r>
          </w:p>
        </w:tc>
        <w:tc>
          <w:tcPr>
            <w:tcW w:w="451" w:type="dxa"/>
            <w:noWrap w:val="0"/>
            <w:vAlign w:val="center"/>
          </w:tcPr>
          <w:p>
            <w:pPr>
              <w:widowControl/>
              <w:jc w:val="center"/>
              <w:rPr>
                <w:rFonts w:ascii="黑体" w:hAnsi="宋体" w:eastAsia="黑体" w:cs="宋体"/>
                <w:color w:val="000000"/>
                <w:kern w:val="0"/>
                <w:sz w:val="22"/>
              </w:rPr>
            </w:pPr>
            <w:r>
              <w:rPr>
                <w:rFonts w:hint="eastAsia" w:ascii="宋体" w:hAnsi="宋体" w:eastAsia="宋体" w:cs="宋体"/>
                <w:b/>
                <w:bCs/>
                <w:color w:val="000000"/>
                <w:kern w:val="0"/>
                <w:sz w:val="18"/>
                <w:szCs w:val="18"/>
              </w:rPr>
              <w:t>镇级</w:t>
            </w:r>
          </w:p>
        </w:tc>
        <w:tc>
          <w:tcPr>
            <w:tcW w:w="440" w:type="dxa"/>
            <w:noWrap w:val="0"/>
            <w:vAlign w:val="center"/>
          </w:tcPr>
          <w:p>
            <w:pPr>
              <w:widowControl/>
              <w:jc w:val="center"/>
              <w:rPr>
                <w:rFonts w:ascii="黑体" w:hAnsi="宋体" w:eastAsia="黑体" w:cs="宋体"/>
                <w:color w:val="000000"/>
                <w:kern w:val="0"/>
                <w:sz w:val="22"/>
              </w:rPr>
            </w:pPr>
            <w:r>
              <w:rPr>
                <w:rFonts w:hint="eastAsia" w:ascii="宋体" w:hAnsi="宋体" w:eastAsia="宋体" w:cs="宋体"/>
                <w:b/>
                <w:bCs/>
                <w:color w:val="000000"/>
                <w:kern w:val="0"/>
                <w:sz w:val="18"/>
                <w:szCs w:val="18"/>
              </w:rPr>
              <w:t>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jc w:val="center"/>
        </w:trPr>
        <w:tc>
          <w:tcPr>
            <w:tcW w:w="502"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1</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285" w:type="dxa"/>
            <w:noWrap w:val="0"/>
            <w:vAlign w:val="center"/>
          </w:tcPr>
          <w:p>
            <w:pPr>
              <w:spacing w:line="240" w:lineRule="exact"/>
              <w:rPr>
                <w:rFonts w:hint="eastAsia" w:ascii="仿宋_GB2312" w:hAnsi="Times New Roman" w:eastAsia="仿宋_GB2312"/>
                <w:sz w:val="18"/>
                <w:szCs w:val="18"/>
                <w:highlight w:val="yellow"/>
              </w:rPr>
            </w:pPr>
            <w:r>
              <w:rPr>
                <w:rFonts w:hint="eastAsia" w:ascii="仿宋_GB2312" w:hAnsi="Times New Roman" w:eastAsia="仿宋_GB2312"/>
                <w:sz w:val="18"/>
                <w:szCs w:val="18"/>
              </w:rPr>
              <w:t>互联网上网服务营业场所经营许可</w:t>
            </w:r>
          </w:p>
        </w:tc>
        <w:tc>
          <w:tcPr>
            <w:tcW w:w="1894" w:type="dxa"/>
            <w:noWrap w:val="0"/>
            <w:vAlign w:val="center"/>
          </w:tcPr>
          <w:p>
            <w:pPr>
              <w:numPr>
                <w:ilvl w:val="0"/>
                <w:numId w:val="1"/>
              </w:num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办事指南：主要包括事项名称、设定依据、申请条件、办理材料、办理地点、办理时间、联系电话、办理流程、办理期限、申请行政许可需要提交的全部材料目录及办理情况。</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《行政许可法》、《政府信息公开条例》、《互联网上网服务营业场所管理条例》</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jc w:val="center"/>
              <w:rPr>
                <w:rFonts w:hint="eastAsia" w:ascii="仿宋_GB2312" w:hAnsi="Times New Roman" w:eastAsia="仿宋_GB2312"/>
                <w:sz w:val="18"/>
                <w:szCs w:val="18"/>
                <w:lang w:eastAsia="zh-CN"/>
              </w:rPr>
            </w:pPr>
            <w:r>
              <w:rPr>
                <w:rFonts w:hint="eastAsia" w:ascii="仿宋_GB2312" w:hAnsi="Times New Roman" w:eastAsia="仿宋_GB2312"/>
                <w:sz w:val="18"/>
                <w:szCs w:val="18"/>
                <w:lang w:eastAsia="zh-CN"/>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文艺表演团体设立审批</w:t>
            </w:r>
          </w:p>
        </w:tc>
        <w:tc>
          <w:tcPr>
            <w:tcW w:w="1894" w:type="dxa"/>
            <w:noWrap w:val="0"/>
            <w:vAlign w:val="center"/>
          </w:tcPr>
          <w:p>
            <w:pPr>
              <w:numPr>
                <w:numId w:val="0"/>
              </w:num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1.办事指南：主要包括事项名称、设定依据、申请条件、办理材料、办理地点、办理时间、联系电话、办理流程、办理期限、申请行政许可需要提交的全部材料目录及办理情况。</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《行政许可法》、《政府信息公开条例》、《营业性演出管理条例》、《文化部关于落实“先照后证”改进文化市场行政审批工作的通知》 </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w:t>
            </w:r>
          </w:p>
        </w:tc>
        <w:tc>
          <w:tcPr>
            <w:tcW w:w="70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营业性演出审批</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《行政许可法》、《政府信息公开条例》、《营业性演出管理条例》、《文化部关于落实“先照后证”改进文化市场行政审批工作的通知》 </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285" w:type="dxa"/>
            <w:noWrap w:val="0"/>
            <w:vAlign w:val="center"/>
          </w:tcPr>
          <w:p>
            <w:pPr>
              <w:spacing w:line="240" w:lineRule="exact"/>
              <w:rPr>
                <w:rFonts w:hint="eastAsia" w:ascii="仿宋_GB2312" w:hAnsi="Times New Roman" w:eastAsia="仿宋_GB2312"/>
                <w:sz w:val="18"/>
                <w:szCs w:val="18"/>
                <w:highlight w:val="yellow"/>
              </w:rPr>
            </w:pPr>
            <w:r>
              <w:rPr>
                <w:rFonts w:hint="eastAsia" w:ascii="仿宋_GB2312" w:hAnsi="Times New Roman" w:eastAsia="仿宋_GB2312"/>
                <w:sz w:val="18"/>
                <w:szCs w:val="18"/>
              </w:rPr>
              <w:t>娱乐场所经营许可</w:t>
            </w:r>
          </w:p>
        </w:tc>
        <w:tc>
          <w:tcPr>
            <w:tcW w:w="1894" w:type="dxa"/>
            <w:noWrap w:val="0"/>
            <w:vAlign w:val="center"/>
          </w:tcPr>
          <w:p>
            <w:pPr>
              <w:spacing w:line="240" w:lineRule="exact"/>
              <w:rPr>
                <w:rFonts w:hint="eastAsia" w:ascii="仿宋_GB2312" w:hAnsi="Times New Roman" w:eastAsia="仿宋_GB2312"/>
                <w:sz w:val="11"/>
                <w:szCs w:val="11"/>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5</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县</w:t>
            </w:r>
            <w:r>
              <w:rPr>
                <w:rFonts w:hint="eastAsia" w:ascii="仿宋_GB2312" w:hAnsi="Times New Roman" w:eastAsia="仿宋_GB2312"/>
                <w:sz w:val="18"/>
                <w:szCs w:val="18"/>
                <w:highlight w:val="yellow"/>
                <w:lang w:eastAsia="zh-CN"/>
              </w:rPr>
              <w:t>市</w:t>
            </w:r>
            <w:r>
              <w:rPr>
                <w:rFonts w:hint="eastAsia" w:ascii="仿宋_GB2312" w:hAnsi="Times New Roman" w:eastAsia="仿宋_GB2312"/>
                <w:sz w:val="18"/>
                <w:szCs w:val="18"/>
                <w:highlight w:val="yellow"/>
              </w:rPr>
              <w:t>级文物保护单位保护范围内其他建设工程或者爆破、钻探、挖掘等作业审批</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6</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县</w:t>
            </w:r>
            <w:r>
              <w:rPr>
                <w:rFonts w:hint="eastAsia" w:ascii="仿宋_GB2312" w:hAnsi="Times New Roman" w:eastAsia="仿宋_GB2312"/>
                <w:sz w:val="18"/>
                <w:szCs w:val="18"/>
                <w:highlight w:val="yellow"/>
                <w:lang w:eastAsia="zh-CN"/>
              </w:rPr>
              <w:t>市</w:t>
            </w:r>
            <w:r>
              <w:rPr>
                <w:rFonts w:hint="eastAsia" w:ascii="仿宋_GB2312" w:hAnsi="Times New Roman" w:eastAsia="仿宋_GB2312"/>
                <w:sz w:val="18"/>
                <w:szCs w:val="18"/>
                <w:highlight w:val="yellow"/>
              </w:rPr>
              <w:t>级文物保护单位建设控制地带内建设工程设计方案审批</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7</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县</w:t>
            </w:r>
            <w:r>
              <w:rPr>
                <w:rFonts w:hint="eastAsia" w:ascii="仿宋_GB2312" w:hAnsi="Times New Roman" w:eastAsia="仿宋_GB2312"/>
                <w:sz w:val="18"/>
                <w:szCs w:val="18"/>
                <w:highlight w:val="yellow"/>
                <w:lang w:eastAsia="zh-CN"/>
              </w:rPr>
              <w:t>市</w:t>
            </w:r>
            <w:r>
              <w:rPr>
                <w:rFonts w:hint="eastAsia" w:ascii="仿宋_GB2312" w:hAnsi="Times New Roman" w:eastAsia="仿宋_GB2312"/>
                <w:sz w:val="18"/>
                <w:szCs w:val="18"/>
                <w:highlight w:val="yellow"/>
              </w:rPr>
              <w:t>级文物保护单位实施原址保护措施审批</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8</w:t>
            </w:r>
          </w:p>
        </w:tc>
        <w:tc>
          <w:tcPr>
            <w:tcW w:w="709" w:type="dxa"/>
            <w:vMerge w:val="restar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县</w:t>
            </w:r>
            <w:r>
              <w:rPr>
                <w:rFonts w:hint="eastAsia" w:ascii="仿宋_GB2312" w:hAnsi="Times New Roman" w:eastAsia="仿宋_GB2312"/>
                <w:sz w:val="18"/>
                <w:szCs w:val="18"/>
                <w:highlight w:val="yellow"/>
                <w:lang w:eastAsia="zh-CN"/>
              </w:rPr>
              <w:t>市</w:t>
            </w:r>
            <w:r>
              <w:rPr>
                <w:rFonts w:hint="eastAsia" w:ascii="仿宋_GB2312" w:hAnsi="Times New Roman" w:eastAsia="仿宋_GB2312"/>
                <w:sz w:val="18"/>
                <w:szCs w:val="18"/>
                <w:highlight w:val="yellow"/>
              </w:rPr>
              <w:t>级文物保护单位和未核定为文物保护单位的不可移动文物修缮审批</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pPr>
            <w:r>
              <w:rPr>
                <w:rFonts w:hint="eastAsia" w:ascii="仿宋_GB2312" w:hAnsi="Times New Roman" w:eastAsia="仿宋_GB2312"/>
                <w:sz w:val="18"/>
                <w:szCs w:val="18"/>
              </w:rPr>
              <w:t>√</w:t>
            </w:r>
          </w:p>
        </w:tc>
        <w:tc>
          <w:tcPr>
            <w:tcW w:w="451" w:type="dxa"/>
            <w:noWrap w:val="0"/>
            <w:vAlign w:val="center"/>
          </w:tcPr>
          <w:p>
            <w:pPr>
              <w:spacing w:line="240" w:lineRule="exact"/>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9</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核定为县</w:t>
            </w:r>
            <w:r>
              <w:rPr>
                <w:rFonts w:hint="eastAsia" w:ascii="仿宋_GB2312" w:hAnsi="Times New Roman" w:eastAsia="仿宋_GB2312"/>
                <w:sz w:val="18"/>
                <w:szCs w:val="18"/>
                <w:highlight w:val="yellow"/>
                <w:lang w:eastAsia="zh-CN"/>
              </w:rPr>
              <w:t>市</w:t>
            </w:r>
            <w:r>
              <w:rPr>
                <w:rFonts w:hint="eastAsia" w:ascii="仿宋_GB2312" w:hAnsi="Times New Roman" w:eastAsia="仿宋_GB2312"/>
                <w:sz w:val="18"/>
                <w:szCs w:val="18"/>
                <w:highlight w:val="yellow"/>
              </w:rPr>
              <w:t>级文物保护单位的属于国家所有的纪念建筑物或者古建筑改变用途审批</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10</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非国有文物收藏单位和其他单位举办展览需借用国有馆藏二级以下文物审批</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11</w:t>
            </w:r>
          </w:p>
        </w:tc>
        <w:tc>
          <w:tcPr>
            <w:tcW w:w="709" w:type="dxa"/>
            <w:vMerge w:val="restar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对互联网上网服务营业场所违法行为的行政处罚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957"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12</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对娱乐场所违法行为的行政处罚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娱乐场所管理条例》、《国务院关于促进市场公平竞争维护市场正常秩序的若干意见》、《国务院办公厅关于全面推行行政执法公示制度执法全过程记录制度重大执法决定法制审核制度的指导意见》、《娱乐场所管理办法》</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13</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对营业性演出违法行为的行政处罚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营业性演出管理条例》、《国务院关于促进市场公平竞争维护市场正常秩序的若干意见》、《国务院办公厅关于全面推行行政执法公示制度执法全过程记录制度重大执法决定法制审核制度的指导意见》、《营业性演出管理条例实施细则》</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lang w:eastAsia="zh-CN"/>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14</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对艺术品经营违法行为的行政处罚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5"/>
                <w:szCs w:val="15"/>
              </w:rPr>
              <w:t>《国务院关于促进市场公平竞争维护市场正常秩序的若干意见》、《国务院办公厅关于全面推行行政执法公示制度执法全过程记录制度重大执法决定法制审核制度的指导意见》、《艺术品经营管理办法》</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15</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对网络游戏运营单位违法行为的行政处罚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5"/>
                <w:szCs w:val="15"/>
              </w:rPr>
              <w:t>《国务院关于促进市场公平竞争维护市场正常秩序的若干意见》、《国务院办公厅关于全面推行行政执法公示制度执法全过程记录制度重大执法决定法制审核制度的指导意见》、《网络游戏管理暂行办法》</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16</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对社会艺术水平考级活动违法行为的行政处罚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5"/>
                <w:szCs w:val="15"/>
              </w:rPr>
              <w:t>《国务院关于促进市场公平竞争维护市场正常秩序的若干意见》、《国务院办公厅关于全面推行行政执法公示制度执法全过程记录制度重大执法决定法制审核制度的指导意见》、《社会艺术水平考级管理办法》</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lang w:eastAsia="zh-CN"/>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17</w:t>
            </w:r>
          </w:p>
        </w:tc>
        <w:tc>
          <w:tcPr>
            <w:tcW w:w="709" w:type="dxa"/>
            <w:vMerge w:val="restar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对互联网文化单位违法行为的行政处罚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国务院关于促进市场公平竞争维护市场正常秩序的若干意见》、《国务院办公厅关于全面推行行政执法公示制度执法全过程记录制度重大执法决定法制审核制度的指导意见》、《互联网文化管理暂行规定》（文化部令第51号，第57号予以修改）  </w:t>
            </w:r>
          </w:p>
        </w:tc>
        <w:tc>
          <w:tcPr>
            <w:tcW w:w="957"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5"/>
                <w:szCs w:val="15"/>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18</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对擅自在文物保护单位的保护范围内进行建设工程或者爆破、钻探、挖掘等作业的行为进行处罚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5"/>
                <w:szCs w:val="15"/>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19</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5"/>
                <w:szCs w:val="15"/>
                <w:highlight w:val="yellow"/>
              </w:rPr>
              <w:t>对在文物保护单位的建设控制地带内进行建设工程，其工程设计方案未经文物行政部门同意、报城乡建设规划部门批准，对文物保护单位的历史风貌造成破坏的行为进行处罚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5"/>
                <w:szCs w:val="15"/>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lang w:eastAsia="zh-CN"/>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20</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对擅自迁移、拆除不可移动文物的行为进行处罚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5"/>
                <w:szCs w:val="15"/>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21</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对擅自修缮不可移动文物，明显改变文物原状的行为进行处罚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5"/>
                <w:szCs w:val="15"/>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lang w:eastAsia="zh-CN"/>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22</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对擅自在原址重建已全部毁坏的不可移动文物，造成文物破坏的行为进行处罚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23</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对施工单位未取得文物保护工程资质证书，擅自从事文物修缮、迁移、重建的行为进行处罚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24</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对转让或者抵押国有不可移动文物的行为进行处罚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hint="eastAsia" w:ascii="仿宋_GB2312" w:hAnsi="Times New Roman" w:eastAsia="仿宋_GB2312"/>
                <w:sz w:val="18"/>
                <w:szCs w:val="18"/>
              </w:rPr>
            </w:pPr>
          </w:p>
        </w:tc>
        <w:tc>
          <w:tcPr>
            <w:tcW w:w="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25</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对将国有不可移动文物作为企业资产经营的行为进行处罚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26</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对将非国有不可移动文物转让或者抵押给外国人的行为进行处罚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27</w:t>
            </w:r>
          </w:p>
        </w:tc>
        <w:tc>
          <w:tcPr>
            <w:tcW w:w="709" w:type="dxa"/>
            <w:vMerge w:val="restart"/>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对擅自改变国有文物保护单位用途的行为进行处罚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28</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对文物收藏单位未按照国家有关规定配备防火、防盗、防自然损坏的设施的行为进行处罚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29</w:t>
            </w:r>
          </w:p>
        </w:tc>
        <w:tc>
          <w:tcPr>
            <w:tcW w:w="709" w:type="dxa"/>
            <w:vMerge w:val="restart"/>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对国有文物收藏单位法定代表人离任时未按照馆藏文物档案移交馆藏文物，或者所移交的馆藏文物与馆藏文物档案不符的行为进行处罚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30</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对将国有馆藏文物赠与、出租或者出售给其他单位、个人的行为进行处罚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31</w:t>
            </w:r>
          </w:p>
        </w:tc>
        <w:tc>
          <w:tcPr>
            <w:tcW w:w="709" w:type="dxa"/>
            <w:vMerge w:val="restart"/>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对违法借用、交换、处置国有馆藏文物的行为进行处罚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32</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对违法挪用或者侵占依法调拨、交换、出借文物所得补偿费用的行为进行处罚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33</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highlight w:val="yellow"/>
              </w:rPr>
              <w:t>对发现文物隐匿不报，或者拒不上交的行为进行处罚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jc w:val="center"/>
              <w:rPr>
                <w:rFonts w:hint="eastAsia" w:ascii="仿宋_GB2312" w:hAnsi="Times New Roman" w:eastAsia="仿宋_GB2312"/>
                <w:sz w:val="18"/>
                <w:szCs w:val="18"/>
              </w:rPr>
            </w:pPr>
          </w:p>
        </w:tc>
        <w:tc>
          <w:tcPr>
            <w:tcW w:w="440" w:type="dxa"/>
            <w:noWrap w:val="0"/>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34</w:t>
            </w:r>
          </w:p>
        </w:tc>
        <w:tc>
          <w:tcPr>
            <w:tcW w:w="709" w:type="dxa"/>
            <w:vMerge w:val="restar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对未按照规定移交拣选文物的行为进行处罚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35</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对未取得相应等级的文物保护工程资质证书，擅自承担文物保护单位的修缮、迁移、重建工程逾期不改正，或者造成严重后果的行为进行处罚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top"/>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36</w:t>
            </w:r>
          </w:p>
        </w:tc>
        <w:tc>
          <w:tcPr>
            <w:tcW w:w="709" w:type="dxa"/>
            <w:vMerge w:val="restar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对未取得资质证书，擅自从事馆藏文物的修复、复制、拓印活动的行为进行处罚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37</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highlight w:val="yellow"/>
              </w:rPr>
              <w:t>对擅自修复、复制、拓印馆藏珍贵文物的行为进行处罚</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957"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38</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强制</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对擅自从事互联网上网服务经营活动场所的查封，专用工具、设备的扣押</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3.处罚依据；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4.处罚结果。</w:t>
            </w:r>
          </w:p>
        </w:tc>
        <w:tc>
          <w:tcPr>
            <w:tcW w:w="1368"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政府信息公开条例》、《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957" w:type="dxa"/>
            <w:noWrap w:val="0"/>
            <w:vAlign w:val="center"/>
          </w:tcPr>
          <w:p>
            <w:pPr>
              <w:spacing w:line="240" w:lineRule="exact"/>
              <w:rPr>
                <w:rFonts w:ascii="仿宋_GB2312" w:hAnsi="Times New Roman" w:eastAsia="仿宋_GB2312"/>
                <w:sz w:val="15"/>
                <w:szCs w:val="15"/>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39</w:t>
            </w:r>
          </w:p>
        </w:tc>
        <w:tc>
          <w:tcPr>
            <w:tcW w:w="709" w:type="dxa"/>
            <w:vMerge w:val="restar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公共文化机构免费开放信息</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《公共文化服务保障法》、《政府信息公开条例》、《文化部 财政部关于推进全国美术馆、公共图书馆、文化馆（站）免费开放工作的意见》、《文化部 财政部关于做好城市社区(街道)文化中心免费开放工作的通知》</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40</w:t>
            </w:r>
          </w:p>
        </w:tc>
        <w:tc>
          <w:tcPr>
            <w:tcW w:w="709" w:type="dxa"/>
            <w:vMerge w:val="continue"/>
            <w:noWrap w:val="0"/>
            <w:vAlign w:val="center"/>
          </w:tcPr>
          <w:p>
            <w:pPr>
              <w:spacing w:line="240" w:lineRule="exact"/>
              <w:rPr>
                <w:rFonts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特殊群体公共文化服务信息</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《残疾人保障法》、《政府信息公开条例》、《中共中央办公厅 国务院办公厅印发关于加快构建现代公共文化服务体系的意见》</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hint="eastAsia"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41</w:t>
            </w:r>
          </w:p>
        </w:tc>
        <w:tc>
          <w:tcPr>
            <w:tcW w:w="709" w:type="dxa"/>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组织开展群众文化活动</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《政府信息公开条例》、《文化馆服务标准》</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42</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下基层辅导、演出、展览和指导基层群众文化活动</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《政府信息公开条例》、《文化馆服务标准》</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43</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举办各类展览、讲座信息</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《政府信息公开条例》、《乡镇综合文化站管理办法》</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44</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辅导和培训基层文化骨干</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《政府信息公开条例》、《乡镇综合文化站管理办法》</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45</w:t>
            </w:r>
          </w:p>
        </w:tc>
        <w:tc>
          <w:tcPr>
            <w:tcW w:w="709" w:type="dxa"/>
            <w:vMerge w:val="continue"/>
            <w:noWrap w:val="0"/>
            <w:vAlign w:val="center"/>
          </w:tcPr>
          <w:p>
            <w:pPr>
              <w:spacing w:line="240" w:lineRule="exact"/>
              <w:rPr>
                <w:rFonts w:hint="eastAsia" w:ascii="仿宋_GB2312" w:hAnsi="Times New Roman" w:eastAsia="仿宋_GB2312"/>
                <w:sz w:val="18"/>
                <w:szCs w:val="18"/>
              </w:rPr>
            </w:pP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非物质文化遗产展示传播活动</w:t>
            </w:r>
          </w:p>
        </w:tc>
        <w:tc>
          <w:tcPr>
            <w:tcW w:w="189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《非物质文化遗产法》、《政府信息公开条例》  </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46</w:t>
            </w:r>
          </w:p>
        </w:tc>
        <w:tc>
          <w:tcPr>
            <w:tcW w:w="709"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1285"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文博单位名录</w:t>
            </w:r>
          </w:p>
        </w:tc>
        <w:tc>
          <w:tcPr>
            <w:tcW w:w="189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文物保护管理机构和博物馆名录。</w:t>
            </w:r>
          </w:p>
        </w:tc>
        <w:tc>
          <w:tcPr>
            <w:tcW w:w="136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w:t>
            </w:r>
          </w:p>
        </w:tc>
        <w:tc>
          <w:tcPr>
            <w:tcW w:w="957"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2625" w:type="dxa"/>
            <w:noWrap w:val="0"/>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40" w:lineRule="exact"/>
              <w:rPr>
                <w:rFonts w:ascii="仿宋_GB2312" w:hAnsi="Times New Roman" w:eastAsia="仿宋_GB2312"/>
                <w:sz w:val="18"/>
                <w:szCs w:val="18"/>
              </w:rPr>
            </w:pPr>
            <w:r>
              <w:rPr>
                <w:rFonts w:hint="eastAsia" w:ascii="宋体" w:hAnsi="宋体" w:eastAsia="宋体" w:cs="宋体"/>
                <w:color w:val="000000"/>
                <w:kern w:val="0"/>
                <w:sz w:val="18"/>
                <w:szCs w:val="18"/>
              </w:rPr>
              <w:t>□精准推送     □其他</w:t>
            </w:r>
            <w:r>
              <w:rPr>
                <w:rFonts w:hint="eastAsia" w:ascii="仿宋_GB2312" w:hAnsi="Times New Roman" w:eastAsia="仿宋_GB2312"/>
                <w:sz w:val="18"/>
                <w:szCs w:val="18"/>
              </w:rPr>
              <w:t xml:space="preserve">  </w:t>
            </w:r>
          </w:p>
        </w:tc>
        <w:tc>
          <w:tcPr>
            <w:tcW w:w="71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28"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8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454"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4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bl>
    <w:p>
      <w:pPr>
        <w:jc w:val="center"/>
        <w:rPr>
          <w:rFonts w:hint="eastAsia" w:ascii="华文中宋" w:hAnsi="华文中宋" w:eastAsia="华文中宋" w:cs="宋体"/>
          <w:color w:val="000000"/>
          <w:kern w:val="0"/>
          <w:sz w:val="36"/>
          <w:szCs w:val="28"/>
        </w:rPr>
      </w:pPr>
    </w:p>
    <w:p>
      <w:pPr>
        <w:jc w:val="center"/>
        <w:rPr>
          <w:rFonts w:hint="eastAsia" w:ascii="华文中宋" w:hAnsi="华文中宋" w:eastAsia="华文中宋" w:cs="宋体"/>
          <w:color w:val="000000"/>
          <w:kern w:val="0"/>
          <w:sz w:val="36"/>
          <w:szCs w:val="28"/>
        </w:rPr>
      </w:pPr>
    </w:p>
    <w:p>
      <w:pPr>
        <w:jc w:val="center"/>
        <w:rPr>
          <w:rFonts w:hint="eastAsia" w:ascii="华文中宋" w:hAnsi="华文中宋" w:eastAsia="华文中宋" w:cs="宋体"/>
          <w:color w:val="000000"/>
          <w:kern w:val="0"/>
          <w:sz w:val="36"/>
          <w:szCs w:val="28"/>
        </w:rPr>
      </w:pPr>
    </w:p>
    <w:tbl>
      <w:tblPr>
        <w:tblStyle w:val="2"/>
        <w:tblW w:w="4992" w:type="pct"/>
        <w:jc w:val="center"/>
        <w:tblLayout w:type="autofit"/>
        <w:tblCellMar>
          <w:top w:w="0" w:type="dxa"/>
          <w:left w:w="108" w:type="dxa"/>
          <w:bottom w:w="0" w:type="dxa"/>
          <w:right w:w="108" w:type="dxa"/>
        </w:tblCellMar>
      </w:tblPr>
      <w:tblGrid>
        <w:gridCol w:w="549"/>
        <w:gridCol w:w="764"/>
        <w:gridCol w:w="1245"/>
        <w:gridCol w:w="1090"/>
        <w:gridCol w:w="1460"/>
        <w:gridCol w:w="917"/>
        <w:gridCol w:w="1027"/>
        <w:gridCol w:w="2856"/>
        <w:gridCol w:w="592"/>
        <w:gridCol w:w="693"/>
        <w:gridCol w:w="693"/>
        <w:gridCol w:w="597"/>
        <w:gridCol w:w="592"/>
        <w:gridCol w:w="538"/>
        <w:gridCol w:w="538"/>
      </w:tblGrid>
      <w:tr>
        <w:tblPrEx>
          <w:tblCellMar>
            <w:top w:w="0" w:type="dxa"/>
            <w:left w:w="108" w:type="dxa"/>
            <w:bottom w:w="0" w:type="dxa"/>
            <w:right w:w="108" w:type="dxa"/>
          </w:tblCellMar>
        </w:tblPrEx>
        <w:trPr>
          <w:trHeight w:val="518" w:hRule="atLeast"/>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71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38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51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2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6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100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trHeight w:val="702" w:hRule="atLeast"/>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7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385"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16"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2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10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90"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trHeight w:val="2343"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44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51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6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1009" w:type="pct"/>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□精准推送     □其他</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299"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440" w:type="pct"/>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sz w:val="18"/>
                <w:szCs w:val="18"/>
              </w:rPr>
            </w:pPr>
          </w:p>
        </w:tc>
        <w:tc>
          <w:tcPr>
            <w:tcW w:w="385" w:type="pct"/>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sz w:val="18"/>
                <w:szCs w:val="18"/>
              </w:rPr>
            </w:pPr>
          </w:p>
        </w:tc>
        <w:tc>
          <w:tcPr>
            <w:tcW w:w="516" w:type="pct"/>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sz w:val="18"/>
                <w:szCs w:val="18"/>
              </w:rPr>
            </w:pPr>
          </w:p>
        </w:tc>
        <w:tc>
          <w:tcPr>
            <w:tcW w:w="324" w:type="pct"/>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sz w:val="18"/>
                <w:szCs w:val="18"/>
              </w:rPr>
            </w:pPr>
          </w:p>
        </w:tc>
        <w:tc>
          <w:tcPr>
            <w:tcW w:w="363" w:type="pct"/>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sz w:val="18"/>
                <w:szCs w:val="18"/>
              </w:rPr>
            </w:pPr>
          </w:p>
        </w:tc>
        <w:tc>
          <w:tcPr>
            <w:tcW w:w="1009" w:type="pct"/>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spacing w:line="260" w:lineRule="exact"/>
              <w:rPr>
                <w:rFonts w:ascii="宋体" w:hAnsi="宋体" w:eastAsia="宋体" w:cs="宋体"/>
                <w:color w:val="000000"/>
                <w:sz w:val="18"/>
                <w:szCs w:val="18"/>
              </w:rPr>
            </w:pPr>
            <w:r>
              <w:rPr>
                <w:rFonts w:hint="eastAsia" w:ascii="宋体" w:hAnsi="宋体" w:eastAsia="宋体" w:cs="宋体"/>
                <w:color w:val="000000"/>
                <w:kern w:val="0"/>
                <w:sz w:val="18"/>
                <w:szCs w:val="18"/>
              </w:rPr>
              <w:t>□精准推送     □其他</w:t>
            </w:r>
          </w:p>
        </w:tc>
        <w:tc>
          <w:tcPr>
            <w:tcW w:w="20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18"/>
                <w:szCs w:val="18"/>
              </w:rPr>
            </w:pPr>
          </w:p>
        </w:tc>
        <w:tc>
          <w:tcPr>
            <w:tcW w:w="245"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18"/>
                <w:szCs w:val="18"/>
              </w:rPr>
            </w:pPr>
          </w:p>
        </w:tc>
        <w:tc>
          <w:tcPr>
            <w:tcW w:w="245"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18"/>
                <w:szCs w:val="18"/>
              </w:rPr>
            </w:pPr>
          </w:p>
        </w:tc>
        <w:tc>
          <w:tcPr>
            <w:tcW w:w="211"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18"/>
                <w:szCs w:val="18"/>
              </w:rPr>
            </w:pPr>
          </w:p>
        </w:tc>
        <w:tc>
          <w:tcPr>
            <w:tcW w:w="20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18"/>
                <w:szCs w:val="18"/>
              </w:rPr>
            </w:pPr>
          </w:p>
        </w:tc>
        <w:tc>
          <w:tcPr>
            <w:tcW w:w="190"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18"/>
                <w:szCs w:val="18"/>
              </w:rPr>
            </w:pPr>
          </w:p>
        </w:tc>
        <w:tc>
          <w:tcPr>
            <w:tcW w:w="190" w:type="pct"/>
            <w:tcBorders>
              <w:top w:val="nil"/>
              <w:left w:val="nil"/>
              <w:bottom w:val="single" w:color="auto" w:sz="4" w:space="0"/>
              <w:right w:val="single" w:color="auto" w:sz="4" w:space="0"/>
            </w:tcBorders>
          </w:tcPr>
          <w:p>
            <w:pPr>
              <w:jc w:val="center"/>
              <w:rPr>
                <w:color w:val="000000"/>
                <w:sz w:val="18"/>
                <w:szCs w:val="18"/>
              </w:rPr>
            </w:pPr>
          </w:p>
        </w:tc>
      </w:tr>
      <w:tr>
        <w:tblPrEx>
          <w:tblCellMar>
            <w:top w:w="0" w:type="dxa"/>
            <w:left w:w="108" w:type="dxa"/>
            <w:bottom w:w="0" w:type="dxa"/>
            <w:right w:w="108" w:type="dxa"/>
          </w:tblCellMar>
        </w:tblPrEx>
        <w:trPr>
          <w:trHeight w:val="132"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44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51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6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1009" w:type="pct"/>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□两微一端   □发布会/听证会</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□精准推送     □其他</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tcPr>
          <w:p>
            <w:pPr>
              <w:widowControl/>
              <w:jc w:val="center"/>
              <w:rPr>
                <w:rFonts w:ascii="宋体" w:hAnsi="宋体" w:eastAsia="宋体" w:cs="宋体"/>
                <w:color w:val="000000"/>
                <w:kern w:val="0"/>
                <w:sz w:val="18"/>
                <w:szCs w:val="18"/>
              </w:rPr>
            </w:pPr>
          </w:p>
        </w:tc>
      </w:tr>
    </w:tbl>
    <w:p>
      <w:r>
        <w:rPr>
          <w:rFonts w:hint="eastAsia"/>
        </w:rPr>
        <w:t>编制</w:t>
      </w:r>
      <w:r>
        <w:t>说明：</w:t>
      </w:r>
      <w:r>
        <w:rPr>
          <w:rFonts w:hint="eastAsia"/>
        </w:rPr>
        <w:t>1.参考</w:t>
      </w:r>
      <w:r>
        <w:t>江门市</w:t>
      </w:r>
      <w:r>
        <w:rPr>
          <w:rFonts w:hint="eastAsia"/>
        </w:rPr>
        <w:t>26个</w:t>
      </w:r>
      <w:r>
        <w:t>试点领域基层政务</w:t>
      </w:r>
      <w:r>
        <w:rPr>
          <w:rFonts w:hint="eastAsia"/>
        </w:rPr>
        <w:t>公开</w:t>
      </w:r>
      <w:r>
        <w:t>标准目录，认领县级、</w:t>
      </w:r>
      <w:r>
        <w:rPr>
          <w:rFonts w:hint="eastAsia"/>
        </w:rPr>
        <w:t>镇级</w:t>
      </w:r>
      <w:r>
        <w:t>、村级的事项。</w:t>
      </w:r>
    </w:p>
    <w:p>
      <w:pPr>
        <w:ind w:firstLine="1050" w:firstLineChars="500"/>
        <w:rPr>
          <w:rFonts w:hint="eastAsia"/>
        </w:rPr>
      </w:pPr>
      <w:r>
        <w:rPr>
          <w:rFonts w:hint="eastAsia"/>
        </w:rPr>
        <w:t>2.市26个</w:t>
      </w:r>
      <w:r>
        <w:t>试点</w:t>
      </w:r>
      <w:r>
        <w:rPr>
          <w:rFonts w:hint="eastAsia"/>
        </w:rPr>
        <w:t>领域</w:t>
      </w:r>
      <w:r>
        <w:t>牵头单位</w:t>
      </w:r>
      <w:r>
        <w:rPr>
          <w:rFonts w:hint="eastAsia"/>
        </w:rPr>
        <w:t>要对</w:t>
      </w:r>
      <w:r>
        <w:t>公开事项进行</w:t>
      </w:r>
      <w:r>
        <w:rPr>
          <w:rFonts w:hint="eastAsia"/>
        </w:rPr>
        <w:t>审核</w:t>
      </w:r>
      <w:r>
        <w:t>，提出公开层级（</w:t>
      </w:r>
      <w:r>
        <w:rPr>
          <w:rFonts w:hint="eastAsia"/>
        </w:rPr>
        <w:t>是否</w:t>
      </w:r>
      <w:r>
        <w:t>到镇级、村级）</w:t>
      </w:r>
      <w:r>
        <w:rPr>
          <w:rFonts w:hint="eastAsia"/>
        </w:rPr>
        <w:t>。</w:t>
      </w:r>
      <w:r>
        <w:t>镇</w:t>
      </w:r>
      <w:r>
        <w:rPr>
          <w:rFonts w:hint="eastAsia"/>
        </w:rPr>
        <w:t>级</w:t>
      </w:r>
      <w:r>
        <w:t>要提出公开层级是否到村级。</w:t>
      </w:r>
    </w:p>
    <w:p>
      <w:pPr>
        <w:rPr>
          <w:rFonts w:hint="eastAsia"/>
        </w:rPr>
      </w:pPr>
      <w:r>
        <w:t xml:space="preserve">          3.</w:t>
      </w:r>
      <w:r>
        <w:rPr>
          <w:rFonts w:hint="eastAsia"/>
        </w:rPr>
        <w:t>公开</w:t>
      </w:r>
      <w:r>
        <w:t>渠道</w:t>
      </w:r>
      <w:r>
        <w:rPr>
          <w:rFonts w:hint="eastAsia"/>
        </w:rPr>
        <w:t>和</w:t>
      </w:r>
      <w:r>
        <w:t>载体，</w:t>
      </w:r>
      <w:r>
        <w:rPr>
          <w:rFonts w:hint="eastAsia"/>
        </w:rPr>
        <w:t>选定</w:t>
      </w:r>
      <w:r>
        <w:t>后</w:t>
      </w:r>
      <w:r>
        <w:rPr>
          <w:rFonts w:hint="eastAsia"/>
        </w:rPr>
        <w:t>■表示，只保留选定项。如果</w:t>
      </w:r>
      <w:r>
        <w:t>选择</w:t>
      </w:r>
      <w:r>
        <w:rPr>
          <w:rFonts w:hint="eastAsia"/>
        </w:rPr>
        <w:t>“</w:t>
      </w:r>
      <w:r>
        <w:t>其他</w:t>
      </w:r>
      <w:r>
        <w:rPr>
          <w:rFonts w:hint="eastAsia"/>
        </w:rPr>
        <w:t>”</w:t>
      </w:r>
      <w:r>
        <w:t>，要写</w:t>
      </w:r>
      <w:r>
        <w:rPr>
          <w:rFonts w:hint="eastAsia"/>
        </w:rPr>
        <w:t>明</w:t>
      </w:r>
      <w:r>
        <w:t>渠道</w:t>
      </w:r>
      <w:r>
        <w:rPr>
          <w:rFonts w:hint="eastAsia"/>
        </w:rPr>
        <w:t>和</w:t>
      </w:r>
      <w:r>
        <w:t>载体</w:t>
      </w:r>
      <w:r>
        <w:rPr>
          <w:rFonts w:hint="eastAsia"/>
        </w:rPr>
        <w:t>名称。</w:t>
      </w:r>
    </w:p>
    <w:p>
      <w:pPr>
        <w:jc w:val="center"/>
        <w:rPr>
          <w:rFonts w:ascii="华文中宋" w:hAnsi="华文中宋" w:eastAsia="华文中宋" w:cs="宋体"/>
          <w:color w:val="000000"/>
          <w:kern w:val="0"/>
          <w:sz w:val="36"/>
          <w:szCs w:val="28"/>
        </w:rPr>
      </w:pPr>
      <w:r>
        <w:rPr>
          <w:rFonts w:hint="eastAsia" w:ascii="华文中宋" w:hAnsi="华文中宋" w:eastAsia="华文中宋" w:cs="宋体"/>
          <w:color w:val="000000"/>
          <w:kern w:val="0"/>
          <w:sz w:val="36"/>
          <w:szCs w:val="28"/>
        </w:rPr>
        <w:t>市政服务领域基层政务公开标准目录（范例）</w:t>
      </w:r>
    </w:p>
    <w:tbl>
      <w:tblPr>
        <w:tblStyle w:val="2"/>
        <w:tblW w:w="4991" w:type="pct"/>
        <w:jc w:val="center"/>
        <w:tblLayout w:type="autofit"/>
        <w:tblCellMar>
          <w:top w:w="0" w:type="dxa"/>
          <w:left w:w="108" w:type="dxa"/>
          <w:bottom w:w="0" w:type="dxa"/>
          <w:right w:w="108" w:type="dxa"/>
        </w:tblCellMar>
      </w:tblPr>
      <w:tblGrid>
        <w:gridCol w:w="549"/>
        <w:gridCol w:w="767"/>
        <w:gridCol w:w="1245"/>
        <w:gridCol w:w="1089"/>
        <w:gridCol w:w="1525"/>
        <w:gridCol w:w="852"/>
        <w:gridCol w:w="1098"/>
        <w:gridCol w:w="2784"/>
        <w:gridCol w:w="594"/>
        <w:gridCol w:w="693"/>
        <w:gridCol w:w="693"/>
        <w:gridCol w:w="600"/>
        <w:gridCol w:w="591"/>
        <w:gridCol w:w="535"/>
        <w:gridCol w:w="533"/>
      </w:tblGrid>
      <w:tr>
        <w:tblPrEx>
          <w:tblCellMar>
            <w:top w:w="0" w:type="dxa"/>
            <w:left w:w="108" w:type="dxa"/>
            <w:bottom w:w="0" w:type="dxa"/>
            <w:right w:w="108" w:type="dxa"/>
          </w:tblCellMar>
        </w:tblPrEx>
        <w:trPr>
          <w:trHeight w:val="518" w:hRule="atLeast"/>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711"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38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53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98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6"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trHeight w:val="702" w:hRule="atLeast"/>
          <w:jc w:val="center"/>
        </w:trPr>
        <w:tc>
          <w:tcPr>
            <w:tcW w:w="19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4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385"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3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01"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8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98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1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8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8"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trHeight w:val="1354"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2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市容管理</w:t>
            </w:r>
          </w:p>
        </w:tc>
        <w:tc>
          <w:tcPr>
            <w:tcW w:w="44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设置大型户外广告审批</w:t>
            </w:r>
          </w:p>
        </w:tc>
        <w:tc>
          <w:tcPr>
            <w:tcW w:w="38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申请条件、申请材料、申请流程、法定依据</w:t>
            </w:r>
          </w:p>
        </w:tc>
        <w:tc>
          <w:tcPr>
            <w:tcW w:w="53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《城市市容和环境卫生管理条例》</w:t>
            </w:r>
          </w:p>
        </w:tc>
        <w:tc>
          <w:tcPr>
            <w:tcW w:w="30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20个工作日</w:t>
            </w:r>
          </w:p>
        </w:tc>
        <w:tc>
          <w:tcPr>
            <w:tcW w:w="38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城市管理主管部门</w:t>
            </w:r>
          </w:p>
        </w:tc>
        <w:tc>
          <w:tcPr>
            <w:tcW w:w="984" w:type="pct"/>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w:t>
            </w:r>
          </w:p>
        </w:tc>
        <w:tc>
          <w:tcPr>
            <w:tcW w:w="2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88"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71"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2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城镇燃气</w:t>
            </w:r>
            <w:r>
              <w:rPr>
                <w:rFonts w:ascii="宋体" w:hAnsi="宋体" w:eastAsia="宋体" w:cs="宋体"/>
                <w:color w:val="000000"/>
                <w:kern w:val="0"/>
                <w:sz w:val="18"/>
                <w:szCs w:val="18"/>
              </w:rPr>
              <w:t>管理</w:t>
            </w:r>
          </w:p>
        </w:tc>
        <w:tc>
          <w:tcPr>
            <w:tcW w:w="44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燃气经营许可证核发</w:t>
            </w:r>
          </w:p>
        </w:tc>
        <w:tc>
          <w:tcPr>
            <w:tcW w:w="38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申请条件、申请材料、申请流程、法定依据</w:t>
            </w:r>
          </w:p>
        </w:tc>
        <w:tc>
          <w:tcPr>
            <w:tcW w:w="53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《城镇燃气管理条例》</w:t>
            </w:r>
          </w:p>
        </w:tc>
        <w:tc>
          <w:tcPr>
            <w:tcW w:w="30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20个工作日</w:t>
            </w:r>
          </w:p>
        </w:tc>
        <w:tc>
          <w:tcPr>
            <w:tcW w:w="38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负责审批的燃气管理部门</w:t>
            </w:r>
          </w:p>
        </w:tc>
        <w:tc>
          <w:tcPr>
            <w:tcW w:w="984" w:type="pct"/>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■政府网站</w:t>
            </w:r>
          </w:p>
        </w:tc>
        <w:tc>
          <w:tcPr>
            <w:tcW w:w="2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8"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116"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44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8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53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0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38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984" w:type="pct"/>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p>
        </w:tc>
        <w:tc>
          <w:tcPr>
            <w:tcW w:w="2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8"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Pr>
        <w:jc w:val="center"/>
      </w:pPr>
    </w:p>
    <w:p>
      <w:pPr>
        <w:jc w:val="center"/>
        <w:rPr>
          <w:rFonts w:hint="eastAsia"/>
        </w:rPr>
      </w:pPr>
    </w:p>
    <w:sectPr>
      <w:pgSz w:w="16838" w:h="11906" w:orient="landscape"/>
      <w:pgMar w:top="1080" w:right="1440" w:bottom="85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5576D2"/>
    <w:multiLevelType w:val="singleLevel"/>
    <w:tmpl w:val="C85576D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254"/>
    <w:rsid w:val="001974FE"/>
    <w:rsid w:val="001D18F3"/>
    <w:rsid w:val="0086133D"/>
    <w:rsid w:val="00A30254"/>
    <w:rsid w:val="00D85C60"/>
    <w:rsid w:val="796E6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145</Words>
  <Characters>828</Characters>
  <Lines>6</Lines>
  <Paragraphs>1</Paragraphs>
  <TotalTime>7</TotalTime>
  <ScaleCrop>false</ScaleCrop>
  <LinksUpToDate>false</LinksUpToDate>
  <CharactersWithSpaces>972</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2020-11-12T08:05:00Z</dcterms:created>
  <dc:creator>丘美容</dc:creator>
  <cp:lastModifiedBy>Administrator</cp:lastModifiedBy>
  <dcterms:modified xsi:type="dcterms:W3CDTF">2020-11-23T14:52:08Z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