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b/>
          <w:bCs/>
          <w:sz w:val="48"/>
          <w:szCs w:val="56"/>
        </w:rPr>
      </w:pPr>
    </w:p>
    <w:p>
      <w:pPr>
        <w:spacing w:line="480" w:lineRule="auto"/>
        <w:jc w:val="center"/>
        <w:rPr>
          <w:b/>
          <w:bCs/>
          <w:sz w:val="48"/>
          <w:szCs w:val="56"/>
        </w:rPr>
      </w:pPr>
    </w:p>
    <w:p>
      <w:pPr>
        <w:pStyle w:val="2"/>
      </w:pPr>
    </w:p>
    <w:p>
      <w:pPr>
        <w:pStyle w:val="2"/>
      </w:pPr>
    </w:p>
    <w:p>
      <w:pPr>
        <w:spacing w:line="480" w:lineRule="auto"/>
        <w:jc w:val="center"/>
        <w:rPr>
          <w:rFonts w:hint="eastAsia" w:eastAsia="宋体"/>
          <w:b/>
          <w:bCs/>
          <w:sz w:val="48"/>
          <w:szCs w:val="56"/>
          <w:lang w:eastAsia="zh-CN"/>
        </w:rPr>
      </w:pPr>
      <w:r>
        <w:rPr>
          <w:rFonts w:hint="eastAsia"/>
          <w:b/>
          <w:bCs/>
          <w:sz w:val="48"/>
          <w:szCs w:val="56"/>
          <w:lang w:eastAsia="zh-CN"/>
        </w:rPr>
        <w:t>台山市广海镇大沙环保工业区</w:t>
      </w:r>
    </w:p>
    <w:p>
      <w:pPr>
        <w:spacing w:before="156" w:beforeLines="50" w:line="480" w:lineRule="auto"/>
        <w:jc w:val="center"/>
        <w:rPr>
          <w:b/>
          <w:bCs/>
          <w:sz w:val="48"/>
          <w:szCs w:val="56"/>
        </w:rPr>
      </w:pPr>
      <w:r>
        <w:rPr>
          <w:rFonts w:hint="eastAsia"/>
          <w:b/>
          <w:bCs/>
          <w:sz w:val="48"/>
          <w:szCs w:val="56"/>
        </w:rPr>
        <w:t>2021年度环境状况与管理情况评估报告</w:t>
      </w:r>
    </w:p>
    <w:p>
      <w:pPr>
        <w:pStyle w:val="2"/>
      </w:pPr>
    </w:p>
    <w:p/>
    <w:p>
      <w:pPr>
        <w:pStyle w:val="2"/>
      </w:pPr>
    </w:p>
    <w:p>
      <w:pPr>
        <w:rPr>
          <w:rFonts w:hint="eastAsia"/>
        </w:rPr>
      </w:pPr>
    </w:p>
    <w:p>
      <w:pPr>
        <w:spacing w:before="156" w:beforeLines="50" w:line="480" w:lineRule="auto"/>
        <w:jc w:val="center"/>
        <w:rPr>
          <w:b/>
          <w:bCs/>
          <w:sz w:val="40"/>
          <w:szCs w:val="48"/>
        </w:rPr>
      </w:pPr>
    </w:p>
    <w:p>
      <w:pPr>
        <w:pStyle w:val="2"/>
        <w:rPr>
          <w:b/>
          <w:bCs/>
          <w:sz w:val="40"/>
          <w:szCs w:val="48"/>
        </w:rPr>
      </w:pPr>
    </w:p>
    <w:p/>
    <w:p/>
    <w:p>
      <w:pPr>
        <w:pStyle w:val="2"/>
      </w:pPr>
    </w:p>
    <w:p/>
    <w:p>
      <w:pPr>
        <w:pStyle w:val="2"/>
      </w:pPr>
    </w:p>
    <w:p/>
    <w:p>
      <w:pPr>
        <w:pStyle w:val="2"/>
      </w:pPr>
    </w:p>
    <w:p>
      <w:pPr>
        <w:pStyle w:val="12"/>
      </w:pPr>
    </w:p>
    <w:p>
      <w:pPr>
        <w:pStyle w:val="2"/>
      </w:pPr>
    </w:p>
    <w:p/>
    <w:p>
      <w:pPr>
        <w:pStyle w:val="2"/>
      </w:pPr>
    </w:p>
    <w:p>
      <w:pPr>
        <w:rPr>
          <w:rFonts w:hint="eastAsia"/>
        </w:rPr>
      </w:pPr>
    </w:p>
    <w:p>
      <w:pPr>
        <w:spacing w:before="156" w:beforeLines="50" w:line="480" w:lineRule="auto"/>
        <w:jc w:val="center"/>
        <w:rPr>
          <w:rFonts w:hint="eastAsia"/>
          <w:b/>
          <w:bCs/>
          <w:sz w:val="36"/>
          <w:szCs w:val="44"/>
        </w:rPr>
      </w:pPr>
    </w:p>
    <w:p>
      <w:pPr>
        <w:spacing w:before="156" w:beforeLines="50" w:line="480" w:lineRule="auto"/>
        <w:jc w:val="center"/>
        <w:rPr>
          <w:rFonts w:hint="eastAsia" w:eastAsia="宋体"/>
          <w:b/>
          <w:bCs/>
          <w:sz w:val="36"/>
          <w:szCs w:val="44"/>
          <w:lang w:val="en-US" w:eastAsia="zh-CN"/>
        </w:rPr>
      </w:pPr>
      <w:r>
        <w:rPr>
          <w:rFonts w:hint="eastAsia"/>
          <w:b/>
          <w:bCs/>
          <w:sz w:val="36"/>
          <w:szCs w:val="44"/>
        </w:rPr>
        <w:t>编制单位：台山市广海镇</w:t>
      </w:r>
      <w:r>
        <w:rPr>
          <w:rFonts w:hint="eastAsia"/>
          <w:b/>
          <w:bCs/>
          <w:sz w:val="36"/>
          <w:szCs w:val="44"/>
          <w:lang w:val="en-US" w:eastAsia="zh-CN"/>
        </w:rPr>
        <w:t>政府</w:t>
      </w:r>
    </w:p>
    <w:p>
      <w:pPr>
        <w:spacing w:line="480" w:lineRule="auto"/>
        <w:jc w:val="center"/>
        <w:rPr>
          <w:b/>
          <w:bCs/>
          <w:sz w:val="36"/>
          <w:szCs w:val="44"/>
        </w:rPr>
        <w:sectPr>
          <w:pgSz w:w="11906" w:h="16838"/>
          <w:pgMar w:top="1440" w:right="1800" w:bottom="1440" w:left="1800" w:header="851" w:footer="992" w:gutter="0"/>
          <w:cols w:space="720" w:num="1"/>
          <w:docGrid w:type="lines" w:linePitch="312" w:charSpace="0"/>
        </w:sectPr>
      </w:pPr>
      <w:r>
        <w:rPr>
          <w:rFonts w:hint="eastAsia"/>
          <w:b/>
          <w:bCs/>
          <w:sz w:val="36"/>
          <w:szCs w:val="44"/>
        </w:rPr>
        <w:t>编制时间：202</w:t>
      </w:r>
      <w:r>
        <w:rPr>
          <w:b/>
          <w:bCs/>
          <w:sz w:val="36"/>
          <w:szCs w:val="44"/>
        </w:rPr>
        <w:t>2</w:t>
      </w:r>
      <w:r>
        <w:rPr>
          <w:rFonts w:hint="eastAsia"/>
          <w:b/>
          <w:bCs/>
          <w:sz w:val="36"/>
          <w:szCs w:val="44"/>
        </w:rPr>
        <w:t>年</w:t>
      </w:r>
      <w:r>
        <w:rPr>
          <w:rFonts w:hint="eastAsia"/>
          <w:b/>
          <w:bCs/>
          <w:sz w:val="36"/>
          <w:szCs w:val="44"/>
          <w:lang w:val="en-US" w:eastAsia="zh-CN"/>
        </w:rPr>
        <w:t>8</w:t>
      </w:r>
      <w:r>
        <w:rPr>
          <w:rFonts w:hint="eastAsia"/>
          <w:b/>
          <w:bCs/>
          <w:sz w:val="36"/>
          <w:szCs w:val="44"/>
        </w:rPr>
        <w:t>月</w:t>
      </w:r>
      <w:r>
        <w:rPr>
          <w:rFonts w:hint="eastAsia"/>
          <w:b/>
          <w:bCs/>
          <w:sz w:val="36"/>
          <w:szCs w:val="44"/>
          <w:lang w:val="en-US" w:eastAsia="zh-CN"/>
        </w:rPr>
        <w:t>18</w:t>
      </w:r>
      <w:r>
        <w:rPr>
          <w:rFonts w:hint="eastAsia"/>
          <w:b/>
          <w:bCs/>
          <w:sz w:val="36"/>
          <w:szCs w:val="44"/>
        </w:rPr>
        <w:t>日</w:t>
      </w:r>
    </w:p>
    <w:p>
      <w:pPr>
        <w:spacing w:line="480" w:lineRule="auto"/>
        <w:jc w:val="center"/>
        <w:rPr>
          <w:b/>
          <w:bCs/>
          <w:sz w:val="36"/>
          <w:szCs w:val="44"/>
        </w:rPr>
        <w:sectPr>
          <w:pgSz w:w="11906" w:h="16838"/>
          <w:pgMar w:top="1440" w:right="1800" w:bottom="1440" w:left="1800" w:header="851" w:footer="992" w:gutter="0"/>
          <w:cols w:space="720" w:num="1"/>
          <w:docGrid w:type="lines" w:linePitch="312" w:charSpace="0"/>
        </w:sectPr>
      </w:pPr>
    </w:p>
    <w:p>
      <w:pPr>
        <w:jc w:val="center"/>
        <w:rPr>
          <w:b/>
          <w:sz w:val="28"/>
          <w:szCs w:val="28"/>
        </w:rPr>
      </w:pPr>
      <w:r>
        <w:rPr>
          <w:rFonts w:ascii="宋体" w:hAnsi="宋体"/>
          <w:b/>
          <w:sz w:val="28"/>
          <w:szCs w:val="28"/>
        </w:rPr>
        <w:t>目录</w:t>
      </w:r>
    </w:p>
    <w:p>
      <w:pPr>
        <w:pStyle w:val="31"/>
        <w:keepNext w:val="0"/>
        <w:keepLines w:val="0"/>
        <w:pageBreakBefore w:val="0"/>
        <w:widowControl w:val="0"/>
        <w:tabs>
          <w:tab w:val="right" w:leader="dot" w:pos="8306"/>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TOC \o "1-2" \h \z \u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_Toc14325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一 背景</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_Toc14325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31"/>
        <w:keepNext w:val="0"/>
        <w:keepLines w:val="0"/>
        <w:pageBreakBefore w:val="0"/>
        <w:widowControl w:val="0"/>
        <w:tabs>
          <w:tab w:val="right" w:leader="dot" w:pos="8306"/>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_Toc16847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二 园区概况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_Toc16847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12"/>
        <w:keepNext w:val="0"/>
        <w:keepLines w:val="0"/>
        <w:pageBreakBefore w:val="0"/>
        <w:widowControl w:val="0"/>
        <w:tabs>
          <w:tab w:val="right" w:leader="dot" w:pos="8306"/>
          <w:tab w:val="clear" w:pos="9060"/>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_Toc24922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2.1 地理位置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_Toc24922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12"/>
        <w:keepNext w:val="0"/>
        <w:keepLines w:val="0"/>
        <w:pageBreakBefore w:val="0"/>
        <w:widowControl w:val="0"/>
        <w:tabs>
          <w:tab w:val="right" w:leader="dot" w:pos="8306"/>
          <w:tab w:val="clear" w:pos="9060"/>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_Toc25183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2.2自然条件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_Toc25183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12"/>
        <w:keepNext w:val="0"/>
        <w:keepLines w:val="0"/>
        <w:pageBreakBefore w:val="0"/>
        <w:widowControl w:val="0"/>
        <w:tabs>
          <w:tab w:val="right" w:leader="dot" w:pos="8306"/>
          <w:tab w:val="clear" w:pos="9060"/>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_Toc15249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2.3产业布局</w:t>
      </w:r>
      <w:r>
        <w:rPr>
          <w:rFonts w:hint="default" w:ascii="Times New Roman" w:hAnsi="Times New Roman" w:eastAsia="宋体" w:cs="Times New Roman"/>
          <w:sz w:val="24"/>
          <w:szCs w:val="24"/>
          <w:lang w:val="en-US" w:eastAsia="zh-CN"/>
        </w:rPr>
        <w:t>及企业分布情况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_Toc15249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12"/>
        <w:keepNext w:val="0"/>
        <w:keepLines w:val="0"/>
        <w:pageBreakBefore w:val="0"/>
        <w:widowControl w:val="0"/>
        <w:tabs>
          <w:tab w:val="right" w:leader="dot" w:pos="8306"/>
          <w:tab w:val="clear" w:pos="9060"/>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_Toc27049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2.4环境功能区划</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_Toc27049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31"/>
        <w:keepNext w:val="0"/>
        <w:keepLines w:val="0"/>
        <w:pageBreakBefore w:val="0"/>
        <w:widowControl w:val="0"/>
        <w:tabs>
          <w:tab w:val="right" w:leader="dot" w:pos="8306"/>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_Toc1801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三 园区开发现状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_Toc1801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12"/>
        <w:keepNext w:val="0"/>
        <w:keepLines w:val="0"/>
        <w:pageBreakBefore w:val="0"/>
        <w:widowControl w:val="0"/>
        <w:tabs>
          <w:tab w:val="right" w:leader="dot" w:pos="8306"/>
          <w:tab w:val="clear" w:pos="9060"/>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_Toc31202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3.1产业发展现状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_Toc31202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12"/>
        <w:keepNext w:val="0"/>
        <w:keepLines w:val="0"/>
        <w:pageBreakBefore w:val="0"/>
        <w:widowControl w:val="0"/>
        <w:tabs>
          <w:tab w:val="right" w:leader="dot" w:pos="8306"/>
          <w:tab w:val="clear" w:pos="9060"/>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_Toc15004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3.2土地开发现状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_Toc15004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12"/>
        <w:keepNext w:val="0"/>
        <w:keepLines w:val="0"/>
        <w:pageBreakBefore w:val="0"/>
        <w:widowControl w:val="0"/>
        <w:tabs>
          <w:tab w:val="right" w:leader="dot" w:pos="8306"/>
          <w:tab w:val="clear" w:pos="9060"/>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_Toc32268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3.3能源消耗情况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_Toc32268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12"/>
        <w:keepNext w:val="0"/>
        <w:keepLines w:val="0"/>
        <w:pageBreakBefore w:val="0"/>
        <w:widowControl w:val="0"/>
        <w:tabs>
          <w:tab w:val="right" w:leader="dot" w:pos="8306"/>
          <w:tab w:val="clear" w:pos="9060"/>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_Toc28305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3.4环保设施配套建设情况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_Toc28305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12"/>
        <w:keepNext w:val="0"/>
        <w:keepLines w:val="0"/>
        <w:pageBreakBefore w:val="0"/>
        <w:widowControl w:val="0"/>
        <w:tabs>
          <w:tab w:val="right" w:leader="dot" w:pos="8306"/>
          <w:tab w:val="clear" w:pos="9060"/>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_Toc18811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3.5园区现有企业排污情况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_Toc18811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31"/>
        <w:keepNext w:val="0"/>
        <w:keepLines w:val="0"/>
        <w:pageBreakBefore w:val="0"/>
        <w:widowControl w:val="0"/>
        <w:tabs>
          <w:tab w:val="right" w:leader="dot" w:pos="8306"/>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_Toc23683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四 园区环境质量现状分析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_Toc23683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12"/>
        <w:keepNext w:val="0"/>
        <w:keepLines w:val="0"/>
        <w:pageBreakBefore w:val="0"/>
        <w:widowControl w:val="0"/>
        <w:tabs>
          <w:tab w:val="right" w:leader="dot" w:pos="8306"/>
          <w:tab w:val="clear" w:pos="9060"/>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_Toc31880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4.1大气环境质量现状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_Toc31880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12"/>
        <w:keepNext w:val="0"/>
        <w:keepLines w:val="0"/>
        <w:pageBreakBefore w:val="0"/>
        <w:widowControl w:val="0"/>
        <w:tabs>
          <w:tab w:val="right" w:leader="dot" w:pos="8306"/>
          <w:tab w:val="clear" w:pos="9060"/>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_Toc977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4.2地表水环境质量现状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_Toc977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12"/>
        <w:keepNext w:val="0"/>
        <w:keepLines w:val="0"/>
        <w:pageBreakBefore w:val="0"/>
        <w:widowControl w:val="0"/>
        <w:tabs>
          <w:tab w:val="right" w:leader="dot" w:pos="8306"/>
          <w:tab w:val="clear" w:pos="9060"/>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_Toc8153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4.3</w:t>
      </w:r>
      <w:r>
        <w:rPr>
          <w:rFonts w:hint="default" w:ascii="Times New Roman" w:hAnsi="Times New Roman" w:eastAsia="宋体" w:cs="Times New Roman"/>
          <w:sz w:val="24"/>
          <w:szCs w:val="24"/>
          <w:lang w:val="en-US" w:eastAsia="zh-CN"/>
        </w:rPr>
        <w:t>声</w:t>
      </w:r>
      <w:r>
        <w:rPr>
          <w:rFonts w:hint="default" w:ascii="Times New Roman" w:hAnsi="Times New Roman" w:eastAsia="宋体" w:cs="Times New Roman"/>
          <w:sz w:val="24"/>
          <w:szCs w:val="24"/>
        </w:rPr>
        <w:t>环境质量现状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_Toc8153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31"/>
        <w:keepNext w:val="0"/>
        <w:keepLines w:val="0"/>
        <w:pageBreakBefore w:val="0"/>
        <w:widowControl w:val="0"/>
        <w:tabs>
          <w:tab w:val="right" w:leader="dot" w:pos="8306"/>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_Toc15942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五 园区环境保护现状管理情况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_Toc15942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12"/>
        <w:keepNext w:val="0"/>
        <w:keepLines w:val="0"/>
        <w:pageBreakBefore w:val="0"/>
        <w:widowControl w:val="0"/>
        <w:tabs>
          <w:tab w:val="right" w:leader="dot" w:pos="8306"/>
          <w:tab w:val="clear" w:pos="9060"/>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_Toc13028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5.1规划环评情况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_Toc13028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12"/>
        <w:keepNext w:val="0"/>
        <w:keepLines w:val="0"/>
        <w:pageBreakBefore w:val="0"/>
        <w:widowControl w:val="0"/>
        <w:tabs>
          <w:tab w:val="right" w:leader="dot" w:pos="8306"/>
          <w:tab w:val="clear" w:pos="9060"/>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_Toc12038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5.2企业环保监督监管情况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_Toc12038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12"/>
        <w:keepNext w:val="0"/>
        <w:keepLines w:val="0"/>
        <w:pageBreakBefore w:val="0"/>
        <w:widowControl w:val="0"/>
        <w:tabs>
          <w:tab w:val="right" w:leader="dot" w:pos="8306"/>
          <w:tab w:val="clear" w:pos="9060"/>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_Toc3996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5.3园区环境风险防控措施落实情况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_Toc3996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12"/>
        <w:keepNext w:val="0"/>
        <w:keepLines w:val="0"/>
        <w:pageBreakBefore w:val="0"/>
        <w:widowControl w:val="0"/>
        <w:tabs>
          <w:tab w:val="right" w:leader="dot" w:pos="8306"/>
          <w:tab w:val="clear" w:pos="9060"/>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_Toc1559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5.4</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三线一单</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管控要求及落实情况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_Toc1559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31"/>
        <w:keepNext w:val="0"/>
        <w:keepLines w:val="0"/>
        <w:pageBreakBefore w:val="0"/>
        <w:widowControl w:val="0"/>
        <w:tabs>
          <w:tab w:val="right" w:leader="dot" w:pos="8306"/>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_Toc21603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六 结论及建议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_Toc21603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12"/>
        <w:keepNext w:val="0"/>
        <w:keepLines w:val="0"/>
        <w:pageBreakBefore w:val="0"/>
        <w:widowControl w:val="0"/>
        <w:tabs>
          <w:tab w:val="right" w:leader="dot" w:pos="8306"/>
          <w:tab w:val="clear" w:pos="9060"/>
        </w:tabs>
        <w:kinsoku/>
        <w:wordWrap/>
        <w:overflowPunct/>
        <w:topLinePunct w:val="0"/>
        <w:autoSpaceDE/>
        <w:autoSpaceDN/>
        <w:bidi w:val="0"/>
        <w:snapToGrid/>
        <w:spacing w:line="360" w:lineRule="auto"/>
        <w:ind w:right="0" w:righ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_Toc9464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6.1结论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_Toc9464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12"/>
        <w:keepNext w:val="0"/>
        <w:keepLines w:val="0"/>
        <w:pageBreakBefore w:val="0"/>
        <w:widowControl w:val="0"/>
        <w:tabs>
          <w:tab w:val="right" w:leader="dot" w:pos="8306"/>
          <w:tab w:val="clear" w:pos="9060"/>
        </w:tabs>
        <w:kinsoku/>
        <w:wordWrap/>
        <w:overflowPunct/>
        <w:topLinePunct w:val="0"/>
        <w:autoSpaceDE/>
        <w:autoSpaceDN/>
        <w:bidi w:val="0"/>
        <w:snapToGrid/>
        <w:spacing w:line="360" w:lineRule="auto"/>
        <w:ind w:right="0" w:rightChars="0"/>
        <w:textAlignment w:val="auto"/>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_Toc20154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6.2建议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_Toc20154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spacing w:line="360" w:lineRule="auto"/>
        <w:rPr>
          <w:rFonts w:ascii="Times New Roman" w:hAnsi="Times New Roman"/>
          <w:sz w:val="24"/>
        </w:rPr>
        <w:sectPr>
          <w:footerReference r:id="rId3" w:type="default"/>
          <w:pgSz w:w="11906" w:h="16838"/>
          <w:pgMar w:top="1440" w:right="1800" w:bottom="1440" w:left="1800" w:header="851" w:footer="992" w:gutter="0"/>
          <w:pgNumType w:start="1"/>
          <w:cols w:space="720" w:num="1"/>
          <w:docGrid w:type="lines" w:linePitch="312" w:charSpace="0"/>
        </w:sectPr>
      </w:pPr>
      <w:r>
        <w:rPr>
          <w:rFonts w:hint="default" w:ascii="Times New Roman" w:hAnsi="Times New Roman" w:eastAsia="宋体" w:cs="Times New Roman"/>
          <w:szCs w:val="24"/>
        </w:rPr>
        <w:fldChar w:fldCharType="end"/>
      </w:r>
    </w:p>
    <w:p>
      <w:pPr>
        <w:spacing w:line="360" w:lineRule="auto"/>
        <w:rPr>
          <w:rFonts w:ascii="Times New Roman" w:hAnsi="Times New Roman"/>
          <w:sz w:val="24"/>
        </w:rPr>
      </w:pPr>
    </w:p>
    <w:p>
      <w:pPr>
        <w:spacing w:line="360" w:lineRule="auto"/>
        <w:rPr>
          <w:rFonts w:ascii="Times New Roman" w:hAnsi="Times New Roman"/>
          <w:sz w:val="24"/>
        </w:rPr>
        <w:sectPr>
          <w:pgSz w:w="11906" w:h="16838"/>
          <w:pgMar w:top="1440" w:right="1800" w:bottom="1440" w:left="1800" w:header="851" w:footer="992" w:gutter="0"/>
          <w:pgNumType w:start="1"/>
          <w:cols w:space="720" w:num="1"/>
          <w:docGrid w:type="lines" w:linePitch="312" w:charSpace="0"/>
        </w:sectPr>
      </w:pPr>
    </w:p>
    <w:p>
      <w:pPr>
        <w:pStyle w:val="13"/>
        <w:keepNext/>
        <w:keepLines/>
        <w:pageBreakBefore w:val="0"/>
        <w:widowControl w:val="0"/>
        <w:kinsoku/>
        <w:wordWrap/>
        <w:overflowPunct/>
        <w:topLinePunct w:val="0"/>
        <w:autoSpaceDE/>
        <w:autoSpaceDN/>
        <w:bidi w:val="0"/>
        <w:adjustRightInd/>
        <w:snapToGrid/>
        <w:textAlignment w:val="auto"/>
      </w:pPr>
      <w:bookmarkStart w:id="0" w:name="_Toc15193"/>
      <w:bookmarkStart w:id="1" w:name="_Toc14325"/>
      <w:bookmarkStart w:id="2" w:name="_Toc97912831"/>
      <w:r>
        <w:rPr>
          <w:rFonts w:hint="eastAsia"/>
        </w:rPr>
        <w:t xml:space="preserve">一 </w:t>
      </w:r>
      <w:bookmarkEnd w:id="0"/>
      <w:r>
        <w:rPr>
          <w:rFonts w:hint="eastAsia"/>
        </w:rPr>
        <w:t>背景</w:t>
      </w:r>
      <w:bookmarkEnd w:id="1"/>
      <w:bookmarkEnd w:id="2"/>
    </w:p>
    <w:p>
      <w:pPr>
        <w:pStyle w:val="70"/>
        <w:ind w:firstLine="480"/>
        <w:jc w:val="both"/>
        <w:rPr>
          <w:rFonts w:hint="default" w:ascii="Times New Roman" w:hAnsi="Times New Roman" w:eastAsia="宋体" w:cs="Times New Roman"/>
        </w:rPr>
      </w:pPr>
      <w:r>
        <w:rPr>
          <w:rFonts w:hint="default" w:ascii="Times New Roman" w:hAnsi="Times New Roman" w:eastAsia="宋体" w:cs="Times New Roman"/>
          <w:lang w:eastAsia="zh-CN"/>
        </w:rPr>
        <w:t>台山市广海镇大沙环保工业区</w:t>
      </w:r>
      <w:r>
        <w:rPr>
          <w:rFonts w:hint="default" w:ascii="Times New Roman" w:hAnsi="Times New Roman" w:eastAsia="宋体" w:cs="Times New Roman"/>
        </w:rPr>
        <w:t>位于</w:t>
      </w:r>
      <w:r>
        <w:rPr>
          <w:rFonts w:hint="eastAsia" w:eastAsia="宋体" w:cs="Times New Roman"/>
          <w:lang w:val="en-US" w:eastAsia="zh-CN"/>
        </w:rPr>
        <w:t>广海镇南湾海港路</w:t>
      </w:r>
      <w:r>
        <w:rPr>
          <w:rFonts w:hint="default" w:ascii="Times New Roman" w:hAnsi="Times New Roman" w:eastAsia="宋体" w:cs="Times New Roman"/>
        </w:rPr>
        <w:t>，距广海城约一公里，东邻广海港，南接广海码头基，北靠广海港公路，离广东省西部沿海高速公路入口1.5公里。2002年10月，台山市府办以台府办函【2002】179号文批复同意在大沙工业区投资的企业办理土地证的费用给予特别优惠办法。2003年4月，台山市发展计划局台计【2003】21号文批准立项；2003年4月经国家环境保护局华南科学研究所承担该区的环境影响评价工作，并报广东省环境保护厅审批；2004年3月，广东省环境保护厅（粤环【2004】159号文）作出《关于台山市广海镇大沙工业区环境影响报告书审批意见函》，同意在台山市广海镇大沙区建设制革行业环保工业区正式批准的广东省第一家皮革定点集中工业区；2005年6月，被江门市人民政府批准为</w:t>
      </w:r>
      <w:r>
        <w:rPr>
          <w:rFonts w:hint="eastAsia" w:eastAsia="宋体" w:cs="Times New Roman"/>
          <w:lang w:eastAsia="zh-CN"/>
        </w:rPr>
        <w:t>“</w:t>
      </w:r>
      <w:r>
        <w:rPr>
          <w:rFonts w:hint="default" w:ascii="Times New Roman" w:hAnsi="Times New Roman" w:eastAsia="宋体" w:cs="Times New Roman"/>
        </w:rPr>
        <w:t>统一规划，统一定点</w:t>
      </w:r>
      <w:r>
        <w:rPr>
          <w:rFonts w:hint="eastAsia" w:eastAsia="宋体" w:cs="Times New Roman"/>
          <w:lang w:eastAsia="zh-CN"/>
        </w:rPr>
        <w:t>”</w:t>
      </w:r>
      <w:r>
        <w:rPr>
          <w:rFonts w:hint="default" w:ascii="Times New Roman" w:hAnsi="Times New Roman" w:eastAsia="宋体" w:cs="Times New Roman"/>
        </w:rPr>
        <w:t>的制革行业工业园。大沙工业区规划开发面积5000亩，分三期开发。首期开发1050亩，二期开发1950亩，三期开发2000亩。目前已开发第一期1050亩。</w:t>
      </w:r>
    </w:p>
    <w:p>
      <w:pPr>
        <w:pStyle w:val="70"/>
        <w:ind w:firstLine="480"/>
        <w:jc w:val="both"/>
        <w:rPr>
          <w:rFonts w:hint="default"/>
          <w:color w:val="000000" w:themeColor="text1"/>
          <w:lang w:val="en-US"/>
          <w14:textFill>
            <w14:solidFill>
              <w14:schemeClr w14:val="tx1"/>
            </w14:solidFill>
          </w14:textFill>
        </w:rPr>
      </w:pPr>
      <w:r>
        <w:rPr>
          <w:rFonts w:hint="default" w:ascii="Times New Roman" w:hAnsi="Times New Roman" w:eastAsia="宋体" w:cs="Times New Roman"/>
        </w:rPr>
        <w:t>目前园区制革企业共4家：台山市广一皮业有限公司，设计生产规模60万张/年，员工数约为250人；浩源皮业（台山）有限公司，设计生产规模60万张/年，员工数约为200人；台山市昌荣皮业有限公司，设计生产规模30万张/年，员工数约为100人；台山广扬皮业有限公司，设计生产规模30万张/年，员工数约为100人。</w:t>
      </w:r>
      <w:r>
        <w:rPr>
          <w:rFonts w:hint="eastAsia" w:eastAsia="宋体" w:cs="Times New Roman"/>
          <w:color w:val="000000" w:themeColor="text1"/>
          <w:lang w:val="en-US" w:eastAsia="zh-CN"/>
          <w14:textFill>
            <w14:solidFill>
              <w14:schemeClr w14:val="tx1"/>
            </w14:solidFill>
          </w14:textFill>
        </w:rPr>
        <w:t>园区内配套了大沙污水处理厂针对企业的制革废水进行深度处理达标后排放，地面积100亩，分2期建设、一期日处理污水4000吨，于2009年1月通过广东省环保厅验收正式投产，至今污水处理厂处理效果稳定，做到达标排放。</w:t>
      </w:r>
    </w:p>
    <w:p>
      <w:pPr>
        <w:pStyle w:val="70"/>
        <w:ind w:firstLine="480"/>
        <w:jc w:val="both"/>
        <w:rPr>
          <w:rFonts w:eastAsia="宋体"/>
        </w:rPr>
      </w:pPr>
      <w:r>
        <w:rPr>
          <w:rFonts w:hint="eastAsia" w:eastAsia="宋体"/>
        </w:rPr>
        <w:t>按照</w:t>
      </w:r>
      <w:r>
        <w:rPr>
          <w:rFonts w:eastAsia="宋体"/>
        </w:rPr>
        <w:t>相关文件的要求，</w:t>
      </w:r>
      <w:r>
        <w:rPr>
          <w:rFonts w:hint="eastAsia" w:eastAsia="宋体"/>
        </w:rPr>
        <w:t>每年</w:t>
      </w:r>
      <w:r>
        <w:rPr>
          <w:rFonts w:eastAsia="宋体"/>
        </w:rPr>
        <w:t>按环境要素对园区区域环境质量进行评价，梳理产业园区主要污染源和污染物排放清单，编制年度环境管理状况评估报告。</w:t>
      </w:r>
    </w:p>
    <w:p>
      <w:pPr>
        <w:sectPr>
          <w:footerReference r:id="rId4" w:type="default"/>
          <w:pgSz w:w="11906" w:h="16838"/>
          <w:pgMar w:top="1440" w:right="1800" w:bottom="1440" w:left="1800" w:header="851" w:footer="992" w:gutter="0"/>
          <w:pgNumType w:start="1"/>
          <w:cols w:space="720" w:num="1"/>
          <w:docGrid w:type="lines" w:linePitch="312" w:charSpace="0"/>
        </w:sectPr>
      </w:pPr>
    </w:p>
    <w:p>
      <w:pPr>
        <w:pStyle w:val="13"/>
      </w:pPr>
      <w:bookmarkStart w:id="3" w:name="_Toc97912832"/>
      <w:bookmarkStart w:id="4" w:name="_Toc16847"/>
      <w:r>
        <w:rPr>
          <w:rFonts w:hint="eastAsia"/>
        </w:rPr>
        <w:t>二 园区</w:t>
      </w:r>
      <w:r>
        <w:t>概况</w:t>
      </w:r>
      <w:bookmarkEnd w:id="3"/>
      <w:bookmarkEnd w:id="4"/>
    </w:p>
    <w:p>
      <w:pPr>
        <w:pStyle w:val="14"/>
      </w:pPr>
      <w:bookmarkStart w:id="5" w:name="_Toc30515"/>
      <w:bookmarkStart w:id="6" w:name="_Toc97912833"/>
      <w:bookmarkStart w:id="7" w:name="_Toc24922"/>
      <w:r>
        <w:t>2</w:t>
      </w:r>
      <w:r>
        <w:rPr>
          <w:rFonts w:hint="eastAsia"/>
        </w:rPr>
        <w:t xml:space="preserve">.1 </w:t>
      </w:r>
      <w:bookmarkEnd w:id="5"/>
      <w:r>
        <w:rPr>
          <w:rFonts w:hint="eastAsia"/>
        </w:rPr>
        <w:t>地理位置</w:t>
      </w:r>
      <w:bookmarkEnd w:id="6"/>
      <w:bookmarkEnd w:id="7"/>
    </w:p>
    <w:p>
      <w:pPr>
        <w:spacing w:line="360" w:lineRule="auto"/>
        <w:ind w:firstLine="480" w:firstLineChars="200"/>
        <w:rPr>
          <w:rFonts w:ascii="Times New Roman" w:hAnsi="Times New Roman"/>
          <w:sz w:val="24"/>
        </w:rPr>
      </w:pPr>
      <w:r>
        <w:rPr>
          <w:rFonts w:hint="eastAsia" w:ascii="Times New Roman" w:hAnsi="Times New Roman"/>
          <w:sz w:val="24"/>
          <w:lang w:eastAsia="zh-CN"/>
        </w:rPr>
        <w:t>台山市广海镇大沙环保工业区</w:t>
      </w:r>
      <w:r>
        <w:rPr>
          <w:rFonts w:hint="eastAsia" w:ascii="Times New Roman" w:hAnsi="Times New Roman"/>
          <w:sz w:val="24"/>
        </w:rPr>
        <w:t>位于</w:t>
      </w:r>
      <w:r>
        <w:rPr>
          <w:rFonts w:hint="eastAsia" w:ascii="Times New Roman" w:hAnsi="Times New Roman"/>
          <w:sz w:val="24"/>
          <w:lang w:val="en-US" w:eastAsia="zh-CN"/>
        </w:rPr>
        <w:t>台山市广海镇南湾海港路</w:t>
      </w:r>
      <w:r>
        <w:rPr>
          <w:rFonts w:hint="eastAsia" w:ascii="Times New Roman" w:hAnsi="Times New Roman"/>
          <w:sz w:val="24"/>
        </w:rPr>
        <w:t>，</w:t>
      </w:r>
      <w:r>
        <w:rPr>
          <w:rFonts w:hint="eastAsia" w:ascii="Times New Roman" w:hAnsi="Times New Roman"/>
          <w:sz w:val="24"/>
          <w:lang w:val="en-US" w:eastAsia="zh-CN"/>
        </w:rPr>
        <w:t>为江门市制革行业统一规划定点工业园区。</w:t>
      </w:r>
    </w:p>
    <w:p>
      <w:pPr>
        <w:pStyle w:val="2"/>
        <w:jc w:val="center"/>
      </w:pPr>
    </w:p>
    <w:p>
      <w:pPr>
        <w:pStyle w:val="14"/>
      </w:pPr>
      <w:bookmarkStart w:id="66" w:name="_GoBack"/>
      <w:bookmarkEnd w:id="66"/>
      <w:bookmarkStart w:id="8" w:name="_Toc25183"/>
      <w:bookmarkStart w:id="9" w:name="_Toc97912834"/>
      <w:r>
        <w:t>2.2自然条件</w:t>
      </w:r>
      <w:bookmarkEnd w:id="8"/>
      <w:bookmarkEnd w:id="9"/>
    </w:p>
    <w:p>
      <w:pPr>
        <w:pStyle w:val="15"/>
        <w:rPr>
          <w:rFonts w:hint="eastAsia" w:eastAsia="宋体"/>
          <w:lang w:eastAsia="zh-CN"/>
        </w:rPr>
      </w:pPr>
      <w:bookmarkStart w:id="10" w:name="_Toc97912835"/>
      <w:r>
        <w:t>2.2.1</w:t>
      </w:r>
      <w:bookmarkEnd w:id="10"/>
      <w:r>
        <w:rPr>
          <w:rFonts w:hint="eastAsia"/>
          <w:lang w:val="en-US" w:eastAsia="zh-CN"/>
        </w:rPr>
        <w:t>地理位置</w:t>
      </w:r>
    </w:p>
    <w:p>
      <w:pPr>
        <w:pStyle w:val="70"/>
        <w:ind w:firstLine="480"/>
        <w:jc w:val="both"/>
        <w:rPr>
          <w:rFonts w:eastAsia="宋体"/>
        </w:rPr>
      </w:pPr>
      <w:r>
        <w:rPr>
          <w:rFonts w:hint="eastAsia" w:eastAsia="宋体"/>
          <w:lang w:val="en-US" w:eastAsia="zh-CN"/>
        </w:rPr>
        <w:t>本园</w:t>
      </w:r>
      <w:r>
        <w:rPr>
          <w:rFonts w:hint="eastAsia" w:eastAsia="宋体"/>
        </w:rPr>
        <w:t>区位于台山市南部广海镇镇区以东1200米处的光海湾沿岸地区，地理位置优越，北连广海至广海码头公路，离沿海西部高速仅1500米，东临广海码头，南面为沿海海滩地和广海湾，西面约为1000米为广海镇。广海镇地处台山市东南端，靠山近海，为台山市沿海要地。北面与端芬镇相连，东北面与斗山镇相接，西部与海宴毗邻，东面与赤溪镇接壤，南邻南海，与上、下川岛隔海相望</w:t>
      </w:r>
      <w:r>
        <w:rPr>
          <w:rFonts w:eastAsia="宋体"/>
        </w:rPr>
        <w:t>。</w:t>
      </w:r>
    </w:p>
    <w:p>
      <w:pPr>
        <w:pStyle w:val="15"/>
      </w:pPr>
      <w:bookmarkStart w:id="11" w:name="_Toc97912836"/>
      <w:r>
        <w:t>2.2.2</w:t>
      </w:r>
      <w:r>
        <w:rPr>
          <w:rFonts w:hint="eastAsia"/>
        </w:rPr>
        <w:t>气候特征</w:t>
      </w:r>
      <w:bookmarkEnd w:id="11"/>
    </w:p>
    <w:p>
      <w:pPr>
        <w:pStyle w:val="70"/>
        <w:ind w:firstLine="480"/>
        <w:jc w:val="both"/>
        <w:rPr>
          <w:rFonts w:hint="eastAsia" w:eastAsia="宋体"/>
        </w:rPr>
      </w:pPr>
      <w:r>
        <w:rPr>
          <w:rFonts w:hint="eastAsia" w:eastAsia="宋体"/>
        </w:rPr>
        <w:t>广海镇地处低纬度南海之滨，属南亚热带海洋性季风气候，具有东暖夏长、阳光充足、雨量丰沛、冬夏季风明显，夏季多台风影响等特点。</w:t>
      </w:r>
    </w:p>
    <w:p>
      <w:pPr>
        <w:pStyle w:val="70"/>
        <w:ind w:firstLine="480"/>
        <w:jc w:val="both"/>
        <w:rPr>
          <w:rFonts w:eastAsia="宋体"/>
        </w:rPr>
      </w:pPr>
      <w:r>
        <w:rPr>
          <w:rFonts w:hint="eastAsia" w:eastAsia="宋体"/>
        </w:rPr>
        <w:t>全年最多风向及频率：北风(N) 11.4%，夏季最多风向及频率：南风(S) 19.7%；冬季最多风向及频率：北风(N) 25.7%；年平均风速2.3米/秒，月平均风速的最大值出现在12月，为2.7m/s，月平均风速的最小值出现8月，为1.8m/s，5月至11月为台风季节</w:t>
      </w:r>
      <w:r>
        <w:rPr>
          <w:rFonts w:eastAsia="宋体"/>
        </w:rPr>
        <w:t>。</w:t>
      </w:r>
    </w:p>
    <w:p>
      <w:pPr>
        <w:pStyle w:val="15"/>
      </w:pPr>
      <w:bookmarkStart w:id="12" w:name="_Toc97912837"/>
      <w:r>
        <w:t>2.2.3</w:t>
      </w:r>
      <w:r>
        <w:rPr>
          <w:rFonts w:hint="eastAsia"/>
        </w:rPr>
        <w:t>地形地貌</w:t>
      </w:r>
      <w:bookmarkEnd w:id="12"/>
    </w:p>
    <w:p>
      <w:pPr>
        <w:pStyle w:val="70"/>
        <w:ind w:firstLine="480"/>
        <w:jc w:val="both"/>
        <w:rPr>
          <w:rFonts w:hint="eastAsia" w:eastAsia="宋体"/>
        </w:rPr>
      </w:pPr>
      <w:r>
        <w:rPr>
          <w:rFonts w:hint="eastAsia" w:eastAsia="宋体"/>
          <w:lang w:val="en-US" w:eastAsia="zh-CN"/>
        </w:rPr>
        <w:t>本园区所在地</w:t>
      </w:r>
      <w:r>
        <w:rPr>
          <w:rFonts w:hint="eastAsia" w:eastAsia="宋体"/>
        </w:rPr>
        <w:t>地貌类型为沿海河口冲积平原，间以丘陵、台地。地势北高南 低，向广海湾逐渐递减。项目西南边为石塘山，其高程约为121米左右，北面有 大边山，其高程约为50.5米。</w:t>
      </w:r>
    </w:p>
    <w:p>
      <w:pPr>
        <w:pStyle w:val="70"/>
        <w:ind w:firstLine="480"/>
        <w:jc w:val="both"/>
        <w:rPr>
          <w:rFonts w:hint="eastAsia" w:eastAsia="宋体"/>
        </w:rPr>
      </w:pPr>
      <w:r>
        <w:rPr>
          <w:rFonts w:hint="eastAsia" w:eastAsia="宋体"/>
        </w:rPr>
        <w:t>广海湾为一开敞型海峡式海湾，是台山市最大的海湾。由于沿岸复杂的水动 力条件和泥沙来源，构成了广海湾特殊的海底地形，其5米水深等深线</w:t>
      </w:r>
      <w:r>
        <w:rPr>
          <w:rFonts w:hint="eastAsia" w:eastAsia="宋体"/>
          <w:lang w:eastAsia="zh-CN"/>
        </w:rPr>
        <w:t>（</w:t>
      </w:r>
      <w:r>
        <w:rPr>
          <w:rFonts w:hint="eastAsia" w:eastAsia="宋体"/>
        </w:rPr>
        <w:t>海图水深，以下相同</w:t>
      </w:r>
      <w:r>
        <w:rPr>
          <w:rFonts w:hint="eastAsia" w:eastAsia="宋体"/>
          <w:lang w:eastAsia="zh-CN"/>
        </w:rPr>
        <w:t>）</w:t>
      </w:r>
      <w:r>
        <w:rPr>
          <w:rFonts w:hint="eastAsia" w:eastAsia="宋体"/>
        </w:rPr>
        <w:t>水域包括了大部分广海湾水域，海底水深等值线离岸逐渐增加。 本项目排污口所在位置的上川岛海域，水深最深可达13米(青栏头附近)。</w:t>
      </w:r>
    </w:p>
    <w:p>
      <w:pPr>
        <w:pStyle w:val="15"/>
        <w:rPr>
          <w:rFonts w:hint="default"/>
          <w:lang w:val="en-US" w:eastAsia="zh-CN"/>
        </w:rPr>
      </w:pPr>
      <w:r>
        <w:rPr>
          <w:rFonts w:hint="eastAsia"/>
          <w:lang w:val="en-US" w:eastAsia="zh-CN"/>
        </w:rPr>
        <w:t>2.2.4河流水文</w:t>
      </w:r>
    </w:p>
    <w:p>
      <w:pPr>
        <w:pStyle w:val="70"/>
        <w:ind w:firstLine="480"/>
        <w:jc w:val="both"/>
        <w:rPr>
          <w:rFonts w:hint="eastAsia" w:eastAsia="宋体"/>
        </w:rPr>
      </w:pPr>
      <w:r>
        <w:rPr>
          <w:rFonts w:hint="eastAsia" w:eastAsia="宋体"/>
          <w:lang w:val="en-US" w:eastAsia="zh-CN"/>
        </w:rPr>
        <w:t>园</w:t>
      </w:r>
      <w:r>
        <w:rPr>
          <w:rFonts w:hint="eastAsia" w:eastAsia="宋体"/>
        </w:rPr>
        <w:t>区东面为大同河河口</w:t>
      </w:r>
      <w:r>
        <w:rPr>
          <w:rFonts w:hint="eastAsia" w:eastAsia="宋体"/>
          <w:lang w:eastAsia="zh-CN"/>
        </w:rPr>
        <w:t>，</w:t>
      </w:r>
      <w:r>
        <w:rPr>
          <w:rFonts w:hint="eastAsia" w:eastAsia="宋体"/>
        </w:rPr>
        <w:t>大同河发源于西北部的恩平市，自大同河口的烽火角水闸以上流域面积约为710km</w:t>
      </w:r>
      <w:r>
        <w:rPr>
          <w:rFonts w:hint="eastAsia" w:eastAsia="宋体"/>
          <w:vertAlign w:val="superscript"/>
        </w:rPr>
        <w:t>2</w:t>
      </w:r>
      <w:r>
        <w:rPr>
          <w:rFonts w:hint="eastAsia" w:eastAsia="宋体"/>
        </w:rPr>
        <w:t>。大同河口烽火角处设有一水闸，该闸长度大约230米，净出水宽度150米，有出水孔48个，另加一船闸。该水闸正常水位3.3米，最大流量7914m</w:t>
      </w:r>
      <w:r>
        <w:rPr>
          <w:rFonts w:hint="eastAsia" w:eastAsia="宋体"/>
          <w:vertAlign w:val="superscript"/>
        </w:rPr>
        <w:t>3</w:t>
      </w:r>
      <w:r>
        <w:rPr>
          <w:rFonts w:hint="eastAsia" w:eastAsia="宋体"/>
        </w:rPr>
        <w:t>/s。按台山水利局资料，该水闸的船闸每天开启1~2次。由于上游水库的调节作用，加之船闸开启和48个出水孔的漏出水，枯水期平均流量约为9.5m</w:t>
      </w:r>
      <w:r>
        <w:rPr>
          <w:rFonts w:hint="eastAsia" w:eastAsia="宋体"/>
          <w:vertAlign w:val="superscript"/>
        </w:rPr>
        <w:t>3</w:t>
      </w:r>
      <w:r>
        <w:rPr>
          <w:rFonts w:hint="eastAsia" w:eastAsia="宋体"/>
        </w:rPr>
        <w:t>/s。大同河河水经烽火角水闸后流出至大同河口水域，再经长约 2.3km的河口段至广海湾沿岸水域。</w:t>
      </w:r>
    </w:p>
    <w:p>
      <w:pPr>
        <w:pStyle w:val="15"/>
        <w:rPr>
          <w:rFonts w:hint="default"/>
          <w:lang w:val="en-US" w:eastAsia="zh-CN"/>
        </w:rPr>
      </w:pPr>
      <w:r>
        <w:rPr>
          <w:rFonts w:hint="eastAsia"/>
          <w:lang w:val="en-US" w:eastAsia="zh-CN"/>
        </w:rPr>
        <w:t>2.2.5沿海水文</w:t>
      </w:r>
    </w:p>
    <w:p>
      <w:pPr>
        <w:pStyle w:val="70"/>
        <w:ind w:firstLine="480"/>
        <w:jc w:val="both"/>
        <w:rPr>
          <w:rFonts w:hint="eastAsia" w:eastAsia="宋体"/>
        </w:rPr>
      </w:pPr>
      <w:r>
        <w:rPr>
          <w:rFonts w:hint="eastAsia" w:eastAsia="宋体"/>
        </w:rPr>
        <w:t>根据华南环境科学研究所于1988年在广海湾及其邻近海域临时潮位站的测量资料和邻近烽火角固定潮位站的潮位资料所做的调查和分析表明，海域内的潮汐性质属不规则半日潮，而且具有高潮位不等和低潮不等的现象，以及平均涨潮历时短的特点。根据烽火角水位站1965－1984年的实测潮位资料，本项目评价海域的潮汐主要特征位(珠江基面)：历年最低潮位-1.66m；多年平均高潮位0.62m；多年平均低潮位-0.57m；历年最大潮差3.16m；历年最小潮差0. 19m；多年平均潮差1.9m。海域属开阔型海峡式海湾，受到潮水涨退影响，与外海的水体交换能力强，海水对水体污染物有较强的稀释能力。</w:t>
      </w:r>
    </w:p>
    <w:p>
      <w:pPr>
        <w:pStyle w:val="14"/>
        <w:rPr>
          <w:rFonts w:hint="default" w:eastAsia="宋体"/>
          <w:lang w:val="en-US" w:eastAsia="zh-CN"/>
        </w:rPr>
      </w:pPr>
      <w:bookmarkStart w:id="13" w:name="_Toc97912838"/>
      <w:bookmarkStart w:id="14" w:name="_Toc15249"/>
      <w:r>
        <w:t>2.3产业布局</w:t>
      </w:r>
      <w:bookmarkEnd w:id="13"/>
      <w:r>
        <w:rPr>
          <w:rFonts w:hint="eastAsia"/>
          <w:lang w:val="en-US" w:eastAsia="zh-CN"/>
        </w:rPr>
        <w:t>及企业分布情况</w:t>
      </w:r>
      <w:bookmarkEnd w:id="14"/>
    </w:p>
    <w:p>
      <w:pPr>
        <w:pStyle w:val="70"/>
        <w:ind w:firstLine="480"/>
        <w:jc w:val="left"/>
        <w:rPr>
          <w:rFonts w:hint="default" w:eastAsia="宋体"/>
          <w:lang w:val="en-US" w:eastAsia="zh-CN"/>
        </w:rPr>
      </w:pPr>
      <w:r>
        <w:rPr>
          <w:rFonts w:hint="eastAsia" w:eastAsia="宋体"/>
        </w:rPr>
        <w:t>园区产业发展主要为皮革加工生产和以皮革为原料的制衣、制鞋及皮具等项目。</w:t>
      </w:r>
      <w:r>
        <w:rPr>
          <w:rFonts w:hint="eastAsia" w:eastAsia="宋体"/>
          <w:lang w:val="en-US" w:eastAsia="zh-CN"/>
        </w:rPr>
        <w:t>园区已入驻4家企业，均为</w:t>
      </w:r>
      <w:r>
        <w:rPr>
          <w:rFonts w:hint="eastAsia" w:eastAsia="宋体"/>
        </w:rPr>
        <w:t>皮革加工生产</w:t>
      </w:r>
      <w:r>
        <w:rPr>
          <w:rFonts w:hint="eastAsia" w:eastAsia="宋体"/>
          <w:lang w:val="en-US" w:eastAsia="zh-CN"/>
        </w:rPr>
        <w:t>的企业，与本园区的产业发展规划均相符。</w:t>
      </w:r>
    </w:p>
    <w:p>
      <w:pPr>
        <w:pStyle w:val="14"/>
      </w:pPr>
      <w:bookmarkStart w:id="15" w:name="_Toc97912839"/>
      <w:bookmarkStart w:id="16" w:name="_Toc27049"/>
      <w:r>
        <w:rPr>
          <w:rFonts w:hint="eastAsia"/>
        </w:rPr>
        <w:t>2</w:t>
      </w:r>
      <w:r>
        <w:t>.4</w:t>
      </w:r>
      <w:r>
        <w:rPr>
          <w:rFonts w:hint="eastAsia"/>
        </w:rPr>
        <w:t>环境功能区划</w:t>
      </w:r>
      <w:bookmarkEnd w:id="15"/>
      <w:bookmarkEnd w:id="16"/>
    </w:p>
    <w:p>
      <w:pPr>
        <w:pStyle w:val="15"/>
      </w:pPr>
      <w:bookmarkStart w:id="17" w:name="_Toc97912840"/>
      <w:r>
        <w:t>2.4.1水环境功能区划</w:t>
      </w:r>
      <w:bookmarkEnd w:id="17"/>
    </w:p>
    <w:p>
      <w:pPr>
        <w:pStyle w:val="70"/>
        <w:ind w:firstLine="480"/>
        <w:jc w:val="left"/>
        <w:rPr>
          <w:rFonts w:hint="eastAsia" w:eastAsia="宋体"/>
        </w:rPr>
      </w:pPr>
      <w:r>
        <w:rPr>
          <w:rFonts w:hint="eastAsia" w:eastAsia="宋体"/>
          <w:lang w:val="en-US" w:eastAsia="zh-CN"/>
        </w:rPr>
        <w:t>园区内企业产生的废水</w:t>
      </w:r>
      <w:r>
        <w:rPr>
          <w:rFonts w:hint="eastAsia" w:eastAsia="宋体"/>
        </w:rPr>
        <w:t>经大沙污水处理</w:t>
      </w:r>
      <w:r>
        <w:rPr>
          <w:rFonts w:hint="eastAsia" w:eastAsia="宋体"/>
          <w:lang w:val="en-US" w:eastAsia="zh-CN"/>
        </w:rPr>
        <w:t>站</w:t>
      </w:r>
      <w:r>
        <w:rPr>
          <w:rFonts w:hint="eastAsia" w:eastAsia="宋体"/>
        </w:rPr>
        <w:t>处理达标后排入广海湾的烽火角至洋渡岸段。根据《广东省近岸海域环境功能区划》</w:t>
      </w:r>
      <w:r>
        <w:rPr>
          <w:rFonts w:hint="eastAsia" w:eastAsia="宋体"/>
          <w:lang w:eastAsia="zh-CN"/>
        </w:rPr>
        <w:t>（</w:t>
      </w:r>
      <w:r>
        <w:rPr>
          <w:rFonts w:hint="eastAsia" w:eastAsia="宋体"/>
        </w:rPr>
        <w:t>1999年</w:t>
      </w:r>
      <w:r>
        <w:rPr>
          <w:rFonts w:hint="eastAsia" w:eastAsia="宋体"/>
          <w:lang w:eastAsia="zh-CN"/>
        </w:rPr>
        <w:t>）</w:t>
      </w:r>
      <w:r>
        <w:rPr>
          <w:rFonts w:hint="eastAsia" w:eastAsia="宋体"/>
        </w:rPr>
        <w:t>，该项目所在广海湾近岸海域功能为工业、生活排污区，具体见表</w:t>
      </w:r>
      <w:r>
        <w:rPr>
          <w:rFonts w:hint="eastAsia" w:eastAsia="宋体"/>
          <w:lang w:val="en-US" w:eastAsia="zh-CN"/>
        </w:rPr>
        <w:t>2.4-1</w:t>
      </w:r>
      <w:r>
        <w:rPr>
          <w:rFonts w:hint="eastAsia" w:eastAsia="宋体"/>
        </w:rPr>
        <w:t>和图</w:t>
      </w:r>
      <w:r>
        <w:rPr>
          <w:rFonts w:hint="eastAsia" w:eastAsia="宋体"/>
          <w:lang w:val="en-US" w:eastAsia="zh-CN"/>
        </w:rPr>
        <w:t>2.4-1</w:t>
      </w:r>
      <w:r>
        <w:rPr>
          <w:rFonts w:hint="eastAsia" w:eastAsia="宋体"/>
        </w:rPr>
        <w:t>。</w:t>
      </w:r>
    </w:p>
    <w:p>
      <w:pPr>
        <w:pStyle w:val="70"/>
        <w:ind w:firstLine="480"/>
        <w:jc w:val="left"/>
        <w:rPr>
          <w:rFonts w:hint="eastAsia" w:eastAsia="宋体"/>
        </w:rPr>
      </w:pPr>
      <w:r>
        <w:rPr>
          <w:rFonts w:hint="eastAsia" w:eastAsia="宋体"/>
        </w:rPr>
        <w:t>根据《广东省海洋功能区划文本》</w:t>
      </w:r>
      <w:r>
        <w:rPr>
          <w:rFonts w:hint="eastAsia" w:eastAsia="宋体"/>
          <w:lang w:eastAsia="zh-CN"/>
        </w:rPr>
        <w:t>（</w:t>
      </w:r>
      <w:r>
        <w:rPr>
          <w:rFonts w:hint="eastAsia" w:eastAsia="宋体"/>
        </w:rPr>
        <w:t>2008年</w:t>
      </w:r>
      <w:r>
        <w:rPr>
          <w:rFonts w:hint="eastAsia" w:eastAsia="宋体"/>
          <w:lang w:eastAsia="zh-CN"/>
        </w:rPr>
        <w:t>）</w:t>
      </w:r>
      <w:r>
        <w:rPr>
          <w:rFonts w:hint="eastAsia" w:eastAsia="宋体"/>
        </w:rPr>
        <w:t>，广海湾—川山群岛海域主要功能为海洋渔业、旅游、港口航运；广海湾-镇海湾渔业、临港工业、海洋保护综合功能区见图</w:t>
      </w:r>
      <w:r>
        <w:rPr>
          <w:rFonts w:hint="eastAsia" w:eastAsia="宋体"/>
          <w:lang w:val="en-US" w:eastAsia="zh-CN"/>
        </w:rPr>
        <w:t>2.4-2</w:t>
      </w:r>
      <w:r>
        <w:rPr>
          <w:rFonts w:hint="eastAsia" w:eastAsia="宋体"/>
        </w:rPr>
        <w:t>，其中， 本工业区废水排放口所在海域属广海工业排污区；排污区两侧属广海渔港港口区和广海临海工业用海区；排污区以外向深海延伸海域属渔业养殖区。</w:t>
      </w:r>
    </w:p>
    <w:p>
      <w:pPr>
        <w:pStyle w:val="70"/>
        <w:ind w:firstLine="480"/>
        <w:jc w:val="left"/>
        <w:rPr>
          <w:rFonts w:hint="eastAsia" w:eastAsia="宋体"/>
        </w:rPr>
      </w:pPr>
      <w:r>
        <w:rPr>
          <w:rFonts w:hint="eastAsia" w:eastAsia="宋体"/>
        </w:rPr>
        <w:t>另外，根据《关于同意实施广东省地表水环境功能区划的批复》</w:t>
      </w:r>
      <w:r>
        <w:rPr>
          <w:rFonts w:hint="eastAsia" w:eastAsia="宋体"/>
          <w:lang w:eastAsia="zh-CN"/>
        </w:rPr>
        <w:t>（</w:t>
      </w:r>
      <w:r>
        <w:rPr>
          <w:rFonts w:hint="eastAsia" w:eastAsia="宋体"/>
        </w:rPr>
        <w:t>粤府函 [2011]29号</w:t>
      </w:r>
      <w:r>
        <w:rPr>
          <w:rFonts w:hint="eastAsia" w:eastAsia="宋体"/>
          <w:lang w:eastAsia="zh-CN"/>
        </w:rPr>
        <w:t>）</w:t>
      </w:r>
      <w:r>
        <w:rPr>
          <w:rFonts w:hint="eastAsia" w:eastAsia="宋体"/>
        </w:rPr>
        <w:t>，大同河</w:t>
      </w:r>
      <w:r>
        <w:rPr>
          <w:rFonts w:hint="eastAsia" w:eastAsia="宋体"/>
          <w:lang w:eastAsia="zh-CN"/>
        </w:rPr>
        <w:t>（</w:t>
      </w:r>
      <w:r>
        <w:rPr>
          <w:rFonts w:hint="eastAsia" w:eastAsia="宋体"/>
        </w:rPr>
        <w:t>又名“大隆洞河、斗山河”</w:t>
      </w:r>
      <w:r>
        <w:rPr>
          <w:rFonts w:hint="eastAsia" w:eastAsia="宋体"/>
          <w:lang w:eastAsia="zh-CN"/>
        </w:rPr>
        <w:t>）</w:t>
      </w:r>
      <w:r>
        <w:rPr>
          <w:rFonts w:hint="eastAsia" w:eastAsia="宋体"/>
        </w:rPr>
        <w:t>的水环境功能为饮用、渔业和农业用水，其水质保护目标为地表水</w:t>
      </w:r>
      <w:r>
        <w:rPr>
          <w:rFonts w:hint="default" w:ascii="Times New Roman" w:hAnsi="Times New Roman" w:eastAsia="宋体" w:cs="Times New Roman"/>
        </w:rPr>
        <w:t>Ⅲ</w:t>
      </w:r>
      <w:r>
        <w:rPr>
          <w:rFonts w:hint="eastAsia" w:eastAsia="宋体"/>
        </w:rPr>
        <w:t>类水质</w:t>
      </w:r>
      <w:r>
        <w:rPr>
          <w:rFonts w:hint="eastAsia" w:eastAsia="宋体"/>
          <w:lang w:eastAsia="zh-CN"/>
        </w:rPr>
        <w:t>，</w:t>
      </w:r>
      <w:r>
        <w:rPr>
          <w:rFonts w:hint="eastAsia" w:eastAsia="宋体"/>
        </w:rPr>
        <w:t xml:space="preserve">执行《地表水环境质量标准》 </w:t>
      </w:r>
      <w:r>
        <w:rPr>
          <w:rFonts w:hint="default" w:ascii="Times New Roman" w:hAnsi="Times New Roman" w:eastAsia="宋体" w:cs="Times New Roman"/>
        </w:rPr>
        <w:t>(GB3838-2002)Ⅲ类标准。</w:t>
      </w:r>
    </w:p>
    <w:p>
      <w:pPr>
        <w:pStyle w:val="70"/>
        <w:ind w:left="0" w:leftChars="0" w:firstLine="0" w:firstLineChars="0"/>
        <w:jc w:val="center"/>
        <w:rPr>
          <w:rFonts w:hint="eastAsia" w:eastAsia="宋体"/>
        </w:rPr>
      </w:pPr>
      <w:r>
        <w:rPr>
          <w:rFonts w:hint="default" w:ascii="Times New Roman" w:hAnsi="Times New Roman" w:eastAsia="宋体" w:cs="Times New Roman"/>
          <w:b/>
          <w:bCs/>
        </w:rPr>
        <w:t>表</w:t>
      </w:r>
      <w:r>
        <w:rPr>
          <w:rFonts w:hint="default" w:ascii="Times New Roman" w:hAnsi="Times New Roman" w:eastAsia="宋体" w:cs="Times New Roman"/>
          <w:b/>
          <w:bCs/>
          <w:lang w:val="en-US" w:eastAsia="zh-CN"/>
        </w:rPr>
        <w:t>2</w:t>
      </w:r>
      <w:r>
        <w:rPr>
          <w:rFonts w:hint="default" w:ascii="Times New Roman" w:hAnsi="Times New Roman" w:eastAsia="宋体" w:cs="Times New Roman"/>
          <w:b/>
          <w:bCs/>
        </w:rPr>
        <w:t>.4-1广海湾近岸海域水环境功能区划  单位：km</w:t>
      </w:r>
    </w:p>
    <w:tbl>
      <w:tblPr>
        <w:tblStyle w:val="72"/>
        <w:tblW w:w="5017"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98"/>
        <w:gridCol w:w="1260"/>
        <w:gridCol w:w="410"/>
        <w:gridCol w:w="456"/>
        <w:gridCol w:w="1462"/>
        <w:gridCol w:w="699"/>
        <w:gridCol w:w="265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397" w:type="dxa"/>
            <w:vAlign w:val="center"/>
          </w:tcPr>
          <w:p>
            <w:pPr>
              <w:jc w:val="center"/>
              <w:rPr>
                <w:rFonts w:hint="default" w:ascii="Times New Roman" w:hAnsi="Times New Roman" w:eastAsia="宋体" w:cs="Times New Roman"/>
                <w:b/>
                <w:bCs/>
                <w:color w:val="000000"/>
              </w:rPr>
            </w:pPr>
            <w:r>
              <w:rPr>
                <w:rFonts w:hint="default" w:ascii="Times New Roman" w:hAnsi="Times New Roman" w:eastAsia="宋体" w:cs="Times New Roman"/>
                <w:b/>
                <w:bCs/>
                <w:color w:val="000000"/>
              </w:rPr>
              <w:t>功能区划</w:t>
            </w:r>
          </w:p>
        </w:tc>
        <w:tc>
          <w:tcPr>
            <w:tcW w:w="1259" w:type="dxa"/>
            <w:vAlign w:val="center"/>
          </w:tcPr>
          <w:p>
            <w:pPr>
              <w:jc w:val="center"/>
              <w:rPr>
                <w:rFonts w:hint="default" w:ascii="Times New Roman" w:hAnsi="Times New Roman" w:eastAsia="宋体" w:cs="Times New Roman"/>
                <w:b/>
                <w:bCs/>
                <w:color w:val="000000"/>
              </w:rPr>
            </w:pPr>
            <w:r>
              <w:rPr>
                <w:rFonts w:hint="default" w:ascii="Times New Roman" w:hAnsi="Times New Roman" w:eastAsia="宋体" w:cs="Times New Roman"/>
                <w:b/>
                <w:bCs/>
                <w:color w:val="000000"/>
              </w:rPr>
              <w:t>范围</w:t>
            </w:r>
          </w:p>
        </w:tc>
        <w:tc>
          <w:tcPr>
            <w:tcW w:w="410" w:type="dxa"/>
            <w:textDirection w:val="tbRlV"/>
            <w:vAlign w:val="center"/>
          </w:tcPr>
          <w:p>
            <w:pPr>
              <w:jc w:val="center"/>
              <w:rPr>
                <w:rFonts w:hint="default" w:ascii="Times New Roman" w:hAnsi="Times New Roman" w:eastAsia="宋体" w:cs="Times New Roman"/>
                <w:b/>
                <w:bCs/>
                <w:color w:val="000000"/>
              </w:rPr>
            </w:pPr>
            <w:r>
              <w:rPr>
                <w:rFonts w:hint="default" w:ascii="Times New Roman" w:hAnsi="Times New Roman" w:eastAsia="宋体" w:cs="Times New Roman"/>
                <w:b/>
                <w:bCs/>
                <w:color w:val="000000"/>
              </w:rPr>
              <w:t>宽 度</w:t>
            </w:r>
          </w:p>
        </w:tc>
        <w:tc>
          <w:tcPr>
            <w:tcW w:w="456" w:type="dxa"/>
            <w:textDirection w:val="tbRlV"/>
            <w:vAlign w:val="center"/>
          </w:tcPr>
          <w:p>
            <w:pPr>
              <w:jc w:val="center"/>
              <w:rPr>
                <w:rFonts w:hint="default" w:ascii="Times New Roman" w:hAnsi="Times New Roman" w:eastAsia="宋体" w:cs="Times New Roman"/>
                <w:b/>
                <w:bCs/>
                <w:color w:val="000000"/>
              </w:rPr>
            </w:pPr>
            <w:r>
              <w:rPr>
                <w:rFonts w:hint="default" w:ascii="Times New Roman" w:hAnsi="Times New Roman" w:eastAsia="宋体" w:cs="Times New Roman"/>
                <w:b/>
                <w:bCs/>
                <w:color w:val="000000"/>
              </w:rPr>
              <w:t>长 度</w:t>
            </w:r>
          </w:p>
        </w:tc>
        <w:tc>
          <w:tcPr>
            <w:tcW w:w="1461" w:type="dxa"/>
            <w:vAlign w:val="center"/>
          </w:tcPr>
          <w:p>
            <w:pPr>
              <w:jc w:val="center"/>
              <w:rPr>
                <w:rFonts w:hint="default" w:ascii="Times New Roman" w:hAnsi="Times New Roman" w:eastAsia="宋体" w:cs="Times New Roman"/>
                <w:b/>
                <w:bCs/>
                <w:color w:val="000000"/>
              </w:rPr>
            </w:pPr>
            <w:r>
              <w:rPr>
                <w:rFonts w:hint="default" w:ascii="Times New Roman" w:hAnsi="Times New Roman" w:eastAsia="宋体" w:cs="Times New Roman"/>
                <w:b/>
                <w:bCs/>
                <w:color w:val="000000"/>
              </w:rPr>
              <w:t>主要功能</w:t>
            </w:r>
          </w:p>
        </w:tc>
        <w:tc>
          <w:tcPr>
            <w:tcW w:w="699" w:type="dxa"/>
            <w:vAlign w:val="center"/>
          </w:tcPr>
          <w:p>
            <w:pPr>
              <w:jc w:val="center"/>
              <w:rPr>
                <w:rFonts w:hint="default" w:ascii="Times New Roman" w:hAnsi="Times New Roman" w:eastAsia="宋体" w:cs="Times New Roman"/>
                <w:b/>
                <w:bCs/>
                <w:color w:val="000000"/>
              </w:rPr>
            </w:pPr>
            <w:r>
              <w:rPr>
                <w:rFonts w:hint="default" w:ascii="Times New Roman" w:hAnsi="Times New Roman" w:eastAsia="宋体" w:cs="Times New Roman"/>
                <w:b/>
                <w:bCs/>
                <w:color w:val="000000"/>
              </w:rPr>
              <w:t>水质</w:t>
            </w:r>
          </w:p>
          <w:p>
            <w:pPr>
              <w:jc w:val="center"/>
              <w:rPr>
                <w:rFonts w:hint="default" w:ascii="Times New Roman" w:hAnsi="Times New Roman" w:eastAsia="宋体" w:cs="Times New Roman"/>
                <w:b/>
                <w:bCs/>
                <w:color w:val="000000"/>
              </w:rPr>
            </w:pPr>
            <w:r>
              <w:rPr>
                <w:rFonts w:hint="default" w:ascii="Times New Roman" w:hAnsi="Times New Roman" w:eastAsia="宋体" w:cs="Times New Roman"/>
                <w:b/>
                <w:bCs/>
                <w:color w:val="000000"/>
              </w:rPr>
              <w:t>目标</w:t>
            </w:r>
          </w:p>
        </w:tc>
        <w:tc>
          <w:tcPr>
            <w:tcW w:w="2653" w:type="dxa"/>
            <w:vAlign w:val="center"/>
          </w:tcPr>
          <w:p>
            <w:pPr>
              <w:jc w:val="center"/>
              <w:rPr>
                <w:rFonts w:hint="default" w:ascii="Times New Roman" w:hAnsi="Times New Roman" w:eastAsia="宋体" w:cs="Times New Roman"/>
                <w:b/>
                <w:bCs/>
                <w:color w:val="000000"/>
              </w:rPr>
            </w:pPr>
            <w:r>
              <w:rPr>
                <w:rFonts w:hint="default" w:ascii="Times New Roman" w:hAnsi="Times New Roman" w:eastAsia="宋体" w:cs="Times New Roman"/>
                <w:b/>
                <w:bCs/>
                <w:color w:val="000000"/>
              </w:rPr>
              <w:t>执行标准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397" w:type="dxa"/>
            <w:vAlign w:val="center"/>
          </w:tcPr>
          <w:p>
            <w:pPr>
              <w:jc w:val="center"/>
              <w:rPr>
                <w:rFonts w:hint="default"/>
                <w:color w:val="000000"/>
              </w:rPr>
            </w:pPr>
            <w:r>
              <w:rPr>
                <w:rFonts w:hint="default"/>
                <w:color w:val="000000"/>
              </w:rPr>
              <w:t>铜鼓混合功能区</w:t>
            </w:r>
          </w:p>
        </w:tc>
        <w:tc>
          <w:tcPr>
            <w:tcW w:w="1259" w:type="dxa"/>
            <w:vAlign w:val="center"/>
          </w:tcPr>
          <w:p>
            <w:pPr>
              <w:jc w:val="center"/>
              <w:rPr>
                <w:rFonts w:hint="default"/>
                <w:color w:val="000000"/>
              </w:rPr>
            </w:pPr>
            <w:r>
              <w:rPr>
                <w:rFonts w:hint="default"/>
                <w:color w:val="000000"/>
              </w:rPr>
              <w:t>腰古至鹅咀排岸段</w:t>
            </w:r>
          </w:p>
        </w:tc>
        <w:tc>
          <w:tcPr>
            <w:tcW w:w="410" w:type="dxa"/>
            <w:vAlign w:val="center"/>
          </w:tcPr>
          <w:p>
            <w:pPr>
              <w:jc w:val="center"/>
              <w:rPr>
                <w:rFonts w:hint="default"/>
                <w:color w:val="000000"/>
              </w:rPr>
            </w:pPr>
            <w:r>
              <w:rPr>
                <w:rFonts w:hint="default"/>
                <w:color w:val="000000"/>
              </w:rPr>
              <w:t>--</w:t>
            </w:r>
          </w:p>
        </w:tc>
        <w:tc>
          <w:tcPr>
            <w:tcW w:w="456" w:type="dxa"/>
            <w:vAlign w:val="center"/>
          </w:tcPr>
          <w:p>
            <w:pPr>
              <w:jc w:val="center"/>
              <w:rPr>
                <w:rFonts w:hint="default"/>
                <w:color w:val="000000"/>
              </w:rPr>
            </w:pPr>
            <w:r>
              <w:rPr>
                <w:rFonts w:hint="default"/>
                <w:color w:val="000000"/>
              </w:rPr>
              <w:t>12.6</w:t>
            </w:r>
          </w:p>
        </w:tc>
        <w:tc>
          <w:tcPr>
            <w:tcW w:w="1461" w:type="dxa"/>
            <w:vAlign w:val="center"/>
          </w:tcPr>
          <w:p>
            <w:pPr>
              <w:jc w:val="center"/>
              <w:rPr>
                <w:rFonts w:hint="default"/>
                <w:color w:val="000000"/>
              </w:rPr>
            </w:pPr>
            <w:r>
              <w:rPr>
                <w:rFonts w:hint="default"/>
                <w:color w:val="000000"/>
              </w:rPr>
              <w:t>工业、排污</w:t>
            </w:r>
          </w:p>
        </w:tc>
        <w:tc>
          <w:tcPr>
            <w:tcW w:w="699" w:type="dxa"/>
            <w:vAlign w:val="center"/>
          </w:tcPr>
          <w:p>
            <w:pPr>
              <w:jc w:val="center"/>
              <w:rPr>
                <w:rFonts w:hint="default"/>
                <w:color w:val="000000"/>
              </w:rPr>
            </w:pPr>
            <w:r>
              <w:rPr>
                <w:rFonts w:hint="default"/>
                <w:color w:val="000000"/>
              </w:rPr>
              <w:t>三类</w:t>
            </w:r>
          </w:p>
        </w:tc>
        <w:tc>
          <w:tcPr>
            <w:tcW w:w="2653" w:type="dxa"/>
            <w:vMerge w:val="restart"/>
            <w:tcBorders>
              <w:bottom w:val="nil"/>
            </w:tcBorders>
            <w:vAlign w:val="center"/>
          </w:tcPr>
          <w:p>
            <w:pPr>
              <w:jc w:val="center"/>
              <w:rPr>
                <w:rFonts w:hint="default"/>
                <w:color w:val="000000"/>
              </w:rPr>
            </w:pPr>
            <w:r>
              <w:rPr>
                <w:rFonts w:hint="default"/>
                <w:color w:val="000000"/>
              </w:rPr>
              <w:t>《海水水质标准》   (GB3097- 1997)三类标准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397" w:type="dxa"/>
            <w:vAlign w:val="center"/>
          </w:tcPr>
          <w:p>
            <w:pPr>
              <w:jc w:val="center"/>
              <w:rPr>
                <w:rFonts w:hint="default"/>
                <w:color w:val="000000"/>
              </w:rPr>
            </w:pPr>
            <w:r>
              <w:rPr>
                <w:rFonts w:hint="default"/>
                <w:color w:val="000000"/>
              </w:rPr>
              <w:t>鱼塘湾、烽火角港口功能区</w:t>
            </w:r>
          </w:p>
        </w:tc>
        <w:tc>
          <w:tcPr>
            <w:tcW w:w="1259" w:type="dxa"/>
            <w:vAlign w:val="center"/>
          </w:tcPr>
          <w:p>
            <w:pPr>
              <w:jc w:val="center"/>
              <w:rPr>
                <w:rFonts w:hint="default"/>
                <w:color w:val="000000"/>
              </w:rPr>
            </w:pPr>
            <w:r>
              <w:rPr>
                <w:rFonts w:hint="default"/>
                <w:color w:val="000000"/>
              </w:rPr>
              <w:t>鹅咀排至烽火角岸段</w:t>
            </w:r>
          </w:p>
        </w:tc>
        <w:tc>
          <w:tcPr>
            <w:tcW w:w="410" w:type="dxa"/>
            <w:vAlign w:val="center"/>
          </w:tcPr>
          <w:p>
            <w:pPr>
              <w:jc w:val="center"/>
              <w:rPr>
                <w:rFonts w:hint="default"/>
                <w:color w:val="000000"/>
              </w:rPr>
            </w:pPr>
            <w:r>
              <w:rPr>
                <w:rFonts w:hint="default"/>
                <w:color w:val="000000"/>
              </w:rPr>
              <w:t>3</w:t>
            </w:r>
          </w:p>
        </w:tc>
        <w:tc>
          <w:tcPr>
            <w:tcW w:w="456" w:type="dxa"/>
            <w:vAlign w:val="center"/>
          </w:tcPr>
          <w:p>
            <w:pPr>
              <w:jc w:val="center"/>
              <w:rPr>
                <w:rFonts w:hint="default"/>
                <w:color w:val="000000"/>
              </w:rPr>
            </w:pPr>
            <w:r>
              <w:rPr>
                <w:rFonts w:hint="default"/>
                <w:color w:val="000000"/>
              </w:rPr>
              <w:t>22.6</w:t>
            </w:r>
          </w:p>
        </w:tc>
        <w:tc>
          <w:tcPr>
            <w:tcW w:w="1461" w:type="dxa"/>
            <w:vAlign w:val="center"/>
          </w:tcPr>
          <w:p>
            <w:pPr>
              <w:jc w:val="center"/>
              <w:rPr>
                <w:rFonts w:hint="default"/>
                <w:color w:val="000000"/>
              </w:rPr>
            </w:pPr>
            <w:r>
              <w:rPr>
                <w:rFonts w:hint="default"/>
                <w:color w:val="000000"/>
              </w:rPr>
              <w:t>港口、工业</w:t>
            </w:r>
          </w:p>
        </w:tc>
        <w:tc>
          <w:tcPr>
            <w:tcW w:w="699" w:type="dxa"/>
            <w:vAlign w:val="center"/>
          </w:tcPr>
          <w:p>
            <w:pPr>
              <w:jc w:val="center"/>
              <w:rPr>
                <w:rFonts w:hint="default"/>
                <w:color w:val="000000"/>
              </w:rPr>
            </w:pPr>
            <w:r>
              <w:rPr>
                <w:rFonts w:hint="default"/>
                <w:color w:val="000000"/>
              </w:rPr>
              <w:t>三类</w:t>
            </w:r>
          </w:p>
        </w:tc>
        <w:tc>
          <w:tcPr>
            <w:tcW w:w="2653" w:type="dxa"/>
            <w:vMerge w:val="continue"/>
            <w:tcBorders>
              <w:top w:val="nil"/>
              <w:bottom w:val="nil"/>
            </w:tcBorders>
            <w:vAlign w:val="center"/>
          </w:tcPr>
          <w:p>
            <w:pPr>
              <w:jc w:val="center"/>
              <w:rPr>
                <w:rFonts w:hint="default"/>
                <w:color w:val="00000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397" w:type="dxa"/>
            <w:vAlign w:val="center"/>
          </w:tcPr>
          <w:p>
            <w:pPr>
              <w:jc w:val="center"/>
              <w:rPr>
                <w:rFonts w:hint="default"/>
                <w:color w:val="000000"/>
              </w:rPr>
            </w:pPr>
            <w:r>
              <w:rPr>
                <w:rFonts w:hint="default"/>
                <w:color w:val="000000"/>
              </w:rPr>
              <w:t>广海湾排污功能区</w:t>
            </w:r>
          </w:p>
        </w:tc>
        <w:tc>
          <w:tcPr>
            <w:tcW w:w="1259" w:type="dxa"/>
            <w:vAlign w:val="center"/>
          </w:tcPr>
          <w:p>
            <w:pPr>
              <w:jc w:val="center"/>
              <w:rPr>
                <w:rFonts w:hint="default"/>
                <w:color w:val="000000"/>
              </w:rPr>
            </w:pPr>
            <w:r>
              <w:rPr>
                <w:rFonts w:hint="default"/>
                <w:color w:val="000000"/>
              </w:rPr>
              <w:t>烽火角至洋 渡岸段</w:t>
            </w:r>
          </w:p>
        </w:tc>
        <w:tc>
          <w:tcPr>
            <w:tcW w:w="410" w:type="dxa"/>
            <w:vAlign w:val="center"/>
          </w:tcPr>
          <w:p>
            <w:pPr>
              <w:jc w:val="center"/>
              <w:rPr>
                <w:rFonts w:hint="default"/>
                <w:color w:val="000000"/>
              </w:rPr>
            </w:pPr>
            <w:r>
              <w:rPr>
                <w:rFonts w:hint="default"/>
                <w:color w:val="000000"/>
              </w:rPr>
              <w:t>--</w:t>
            </w:r>
          </w:p>
        </w:tc>
        <w:tc>
          <w:tcPr>
            <w:tcW w:w="456" w:type="dxa"/>
            <w:vAlign w:val="center"/>
          </w:tcPr>
          <w:p>
            <w:pPr>
              <w:jc w:val="center"/>
              <w:rPr>
                <w:rFonts w:hint="default"/>
                <w:color w:val="000000"/>
              </w:rPr>
            </w:pPr>
            <w:r>
              <w:rPr>
                <w:rFonts w:hint="default"/>
                <w:color w:val="000000"/>
              </w:rPr>
              <w:t>8</w:t>
            </w:r>
          </w:p>
        </w:tc>
        <w:tc>
          <w:tcPr>
            <w:tcW w:w="1461" w:type="dxa"/>
            <w:vAlign w:val="center"/>
          </w:tcPr>
          <w:p>
            <w:pPr>
              <w:jc w:val="center"/>
              <w:rPr>
                <w:rFonts w:hint="default"/>
                <w:color w:val="000000"/>
              </w:rPr>
            </w:pPr>
            <w:r>
              <w:rPr>
                <w:rFonts w:hint="default"/>
                <w:color w:val="000000"/>
              </w:rPr>
              <w:t>工业、生活排污</w:t>
            </w:r>
          </w:p>
        </w:tc>
        <w:tc>
          <w:tcPr>
            <w:tcW w:w="699" w:type="dxa"/>
            <w:vAlign w:val="center"/>
          </w:tcPr>
          <w:p>
            <w:pPr>
              <w:jc w:val="center"/>
              <w:rPr>
                <w:rFonts w:hint="default"/>
                <w:color w:val="000000"/>
              </w:rPr>
            </w:pPr>
            <w:r>
              <w:rPr>
                <w:rFonts w:hint="default"/>
                <w:color w:val="000000"/>
              </w:rPr>
              <w:t>三类</w:t>
            </w:r>
          </w:p>
        </w:tc>
        <w:tc>
          <w:tcPr>
            <w:tcW w:w="2653" w:type="dxa"/>
            <w:vMerge w:val="continue"/>
            <w:tcBorders>
              <w:top w:val="nil"/>
            </w:tcBorders>
            <w:vAlign w:val="center"/>
          </w:tcPr>
          <w:p>
            <w:pPr>
              <w:jc w:val="center"/>
              <w:rPr>
                <w:rFonts w:hint="default"/>
                <w:color w:val="00000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397" w:type="dxa"/>
            <w:vAlign w:val="center"/>
          </w:tcPr>
          <w:p>
            <w:pPr>
              <w:jc w:val="center"/>
              <w:rPr>
                <w:rFonts w:hint="default"/>
                <w:color w:val="000000"/>
              </w:rPr>
            </w:pPr>
            <w:r>
              <w:rPr>
                <w:rFonts w:hint="default"/>
                <w:color w:val="000000"/>
              </w:rPr>
              <w:t>广海湾海水养殖功能区</w:t>
            </w:r>
          </w:p>
        </w:tc>
        <w:tc>
          <w:tcPr>
            <w:tcW w:w="1259" w:type="dxa"/>
            <w:vAlign w:val="center"/>
          </w:tcPr>
          <w:p>
            <w:pPr>
              <w:jc w:val="center"/>
              <w:rPr>
                <w:rFonts w:hint="default"/>
                <w:color w:val="000000"/>
              </w:rPr>
            </w:pPr>
            <w:r>
              <w:rPr>
                <w:rFonts w:hint="default"/>
                <w:color w:val="000000"/>
              </w:rPr>
              <w:t>鱼塘洲至山 咀岸段</w:t>
            </w:r>
          </w:p>
        </w:tc>
        <w:tc>
          <w:tcPr>
            <w:tcW w:w="410" w:type="dxa"/>
            <w:vAlign w:val="center"/>
          </w:tcPr>
          <w:p>
            <w:pPr>
              <w:jc w:val="center"/>
              <w:rPr>
                <w:rFonts w:hint="default"/>
                <w:color w:val="000000"/>
              </w:rPr>
            </w:pPr>
            <w:r>
              <w:rPr>
                <w:rFonts w:hint="default"/>
                <w:color w:val="000000"/>
              </w:rPr>
              <w:t>--</w:t>
            </w:r>
          </w:p>
        </w:tc>
        <w:tc>
          <w:tcPr>
            <w:tcW w:w="456" w:type="dxa"/>
            <w:vAlign w:val="center"/>
          </w:tcPr>
          <w:p>
            <w:pPr>
              <w:jc w:val="center"/>
              <w:rPr>
                <w:rFonts w:hint="default"/>
                <w:color w:val="000000"/>
              </w:rPr>
            </w:pPr>
            <w:r>
              <w:rPr>
                <w:rFonts w:hint="default"/>
                <w:color w:val="000000"/>
              </w:rPr>
              <w:t>28.6</w:t>
            </w:r>
          </w:p>
        </w:tc>
        <w:tc>
          <w:tcPr>
            <w:tcW w:w="1461" w:type="dxa"/>
            <w:vAlign w:val="center"/>
          </w:tcPr>
          <w:p>
            <w:pPr>
              <w:jc w:val="center"/>
              <w:rPr>
                <w:rFonts w:hint="default"/>
                <w:color w:val="000000"/>
              </w:rPr>
            </w:pPr>
            <w:r>
              <w:rPr>
                <w:rFonts w:hint="default"/>
                <w:color w:val="000000"/>
              </w:rPr>
              <w:t>海水养殖</w:t>
            </w:r>
          </w:p>
        </w:tc>
        <w:tc>
          <w:tcPr>
            <w:tcW w:w="699" w:type="dxa"/>
            <w:vAlign w:val="center"/>
          </w:tcPr>
          <w:p>
            <w:pPr>
              <w:jc w:val="center"/>
              <w:rPr>
                <w:rFonts w:hint="default"/>
                <w:color w:val="000000"/>
              </w:rPr>
            </w:pPr>
            <w:r>
              <w:rPr>
                <w:rFonts w:hint="default"/>
                <w:color w:val="000000"/>
              </w:rPr>
              <w:t>二类</w:t>
            </w:r>
          </w:p>
        </w:tc>
        <w:tc>
          <w:tcPr>
            <w:tcW w:w="2653" w:type="dxa"/>
            <w:vAlign w:val="center"/>
          </w:tcPr>
          <w:p>
            <w:pPr>
              <w:jc w:val="center"/>
              <w:rPr>
                <w:rFonts w:hint="default"/>
                <w:color w:val="000000"/>
              </w:rPr>
            </w:pPr>
            <w:r>
              <w:rPr>
                <w:rFonts w:hint="default"/>
                <w:color w:val="000000"/>
              </w:rPr>
              <w:t>《海水水质标准》   (GB3097- 1997)二类标准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397" w:type="dxa"/>
            <w:vAlign w:val="center"/>
          </w:tcPr>
          <w:p>
            <w:pPr>
              <w:jc w:val="center"/>
              <w:rPr>
                <w:rFonts w:hint="default"/>
                <w:color w:val="000000"/>
              </w:rPr>
            </w:pPr>
            <w:r>
              <w:rPr>
                <w:rFonts w:hint="default"/>
                <w:color w:val="000000"/>
              </w:rPr>
              <w:t>山咀码头作业 功能区</w:t>
            </w:r>
          </w:p>
        </w:tc>
        <w:tc>
          <w:tcPr>
            <w:tcW w:w="1259" w:type="dxa"/>
            <w:vAlign w:val="center"/>
          </w:tcPr>
          <w:p>
            <w:pPr>
              <w:jc w:val="center"/>
              <w:rPr>
                <w:rFonts w:hint="default"/>
                <w:color w:val="000000"/>
              </w:rPr>
            </w:pPr>
            <w:r>
              <w:rPr>
                <w:rFonts w:hint="default"/>
                <w:color w:val="000000"/>
              </w:rPr>
              <w:t>山咀岸段</w:t>
            </w:r>
          </w:p>
        </w:tc>
        <w:tc>
          <w:tcPr>
            <w:tcW w:w="410" w:type="dxa"/>
            <w:vAlign w:val="center"/>
          </w:tcPr>
          <w:p>
            <w:pPr>
              <w:jc w:val="center"/>
              <w:rPr>
                <w:rFonts w:hint="default"/>
                <w:color w:val="000000"/>
              </w:rPr>
            </w:pPr>
            <w:r>
              <w:rPr>
                <w:rFonts w:hint="default"/>
                <w:color w:val="000000"/>
              </w:rPr>
              <w:t>1</w:t>
            </w:r>
          </w:p>
        </w:tc>
        <w:tc>
          <w:tcPr>
            <w:tcW w:w="456" w:type="dxa"/>
            <w:vAlign w:val="center"/>
          </w:tcPr>
          <w:p>
            <w:pPr>
              <w:jc w:val="center"/>
              <w:rPr>
                <w:rFonts w:hint="default"/>
                <w:color w:val="000000"/>
              </w:rPr>
            </w:pPr>
            <w:r>
              <w:rPr>
                <w:rFonts w:hint="default"/>
                <w:color w:val="000000"/>
              </w:rPr>
              <w:t>1.7</w:t>
            </w:r>
          </w:p>
        </w:tc>
        <w:tc>
          <w:tcPr>
            <w:tcW w:w="1461" w:type="dxa"/>
            <w:vAlign w:val="center"/>
          </w:tcPr>
          <w:p>
            <w:pPr>
              <w:jc w:val="center"/>
              <w:rPr>
                <w:rFonts w:hint="default"/>
                <w:color w:val="000000"/>
              </w:rPr>
            </w:pPr>
            <w:r>
              <w:rPr>
                <w:rFonts w:hint="default"/>
                <w:color w:val="000000"/>
              </w:rPr>
              <w:t>港口</w:t>
            </w:r>
          </w:p>
        </w:tc>
        <w:tc>
          <w:tcPr>
            <w:tcW w:w="699" w:type="dxa"/>
            <w:vAlign w:val="center"/>
          </w:tcPr>
          <w:p>
            <w:pPr>
              <w:jc w:val="center"/>
              <w:rPr>
                <w:rFonts w:hint="default"/>
                <w:color w:val="000000"/>
              </w:rPr>
            </w:pPr>
            <w:r>
              <w:rPr>
                <w:rFonts w:hint="default"/>
                <w:color w:val="000000"/>
              </w:rPr>
              <w:t>三类</w:t>
            </w:r>
          </w:p>
        </w:tc>
        <w:tc>
          <w:tcPr>
            <w:tcW w:w="2653" w:type="dxa"/>
            <w:vAlign w:val="center"/>
          </w:tcPr>
          <w:p>
            <w:pPr>
              <w:jc w:val="center"/>
              <w:rPr>
                <w:rFonts w:hint="default"/>
                <w:color w:val="000000"/>
              </w:rPr>
            </w:pPr>
            <w:r>
              <w:rPr>
                <w:rFonts w:hint="default"/>
                <w:color w:val="000000"/>
              </w:rPr>
              <w:t>《海水水质标准》   (GB3097- 1997)三类标准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1397" w:type="dxa"/>
            <w:vAlign w:val="center"/>
          </w:tcPr>
          <w:p>
            <w:pPr>
              <w:jc w:val="center"/>
              <w:rPr>
                <w:rFonts w:hint="default"/>
                <w:color w:val="000000"/>
              </w:rPr>
            </w:pPr>
            <w:r>
              <w:rPr>
                <w:rFonts w:hint="default"/>
                <w:color w:val="000000"/>
              </w:rPr>
              <w:t>中门海海水养殖功能区</w:t>
            </w:r>
          </w:p>
        </w:tc>
        <w:tc>
          <w:tcPr>
            <w:tcW w:w="1259" w:type="dxa"/>
            <w:vAlign w:val="center"/>
          </w:tcPr>
          <w:p>
            <w:pPr>
              <w:jc w:val="center"/>
              <w:rPr>
                <w:rFonts w:hint="default"/>
                <w:color w:val="000000"/>
              </w:rPr>
            </w:pPr>
            <w:r>
              <w:rPr>
                <w:rFonts w:hint="default"/>
                <w:color w:val="000000"/>
              </w:rPr>
              <w:t>山咀至凌冲 岸段</w:t>
            </w:r>
          </w:p>
        </w:tc>
        <w:tc>
          <w:tcPr>
            <w:tcW w:w="410" w:type="dxa"/>
            <w:vAlign w:val="center"/>
          </w:tcPr>
          <w:p>
            <w:pPr>
              <w:jc w:val="center"/>
              <w:rPr>
                <w:rFonts w:hint="default"/>
                <w:color w:val="000000"/>
              </w:rPr>
            </w:pPr>
            <w:r>
              <w:rPr>
                <w:rFonts w:hint="default"/>
                <w:color w:val="000000"/>
              </w:rPr>
              <w:t>--</w:t>
            </w:r>
          </w:p>
        </w:tc>
        <w:tc>
          <w:tcPr>
            <w:tcW w:w="456" w:type="dxa"/>
            <w:vAlign w:val="center"/>
          </w:tcPr>
          <w:p>
            <w:pPr>
              <w:jc w:val="center"/>
              <w:rPr>
                <w:rFonts w:hint="default"/>
                <w:color w:val="000000"/>
              </w:rPr>
            </w:pPr>
            <w:r>
              <w:rPr>
                <w:rFonts w:hint="default"/>
                <w:color w:val="000000"/>
              </w:rPr>
              <w:t>6.3</w:t>
            </w:r>
          </w:p>
        </w:tc>
        <w:tc>
          <w:tcPr>
            <w:tcW w:w="1461" w:type="dxa"/>
            <w:vAlign w:val="center"/>
          </w:tcPr>
          <w:p>
            <w:pPr>
              <w:jc w:val="center"/>
              <w:rPr>
                <w:rFonts w:hint="default"/>
                <w:color w:val="000000"/>
              </w:rPr>
            </w:pPr>
            <w:r>
              <w:rPr>
                <w:rFonts w:hint="default"/>
                <w:color w:val="000000"/>
              </w:rPr>
              <w:t>海水养殖</w:t>
            </w:r>
          </w:p>
        </w:tc>
        <w:tc>
          <w:tcPr>
            <w:tcW w:w="699" w:type="dxa"/>
            <w:vAlign w:val="center"/>
          </w:tcPr>
          <w:p>
            <w:pPr>
              <w:jc w:val="center"/>
              <w:rPr>
                <w:rFonts w:hint="default"/>
                <w:color w:val="000000"/>
              </w:rPr>
            </w:pPr>
            <w:r>
              <w:rPr>
                <w:rFonts w:hint="default"/>
                <w:color w:val="000000"/>
              </w:rPr>
              <w:t>二类</w:t>
            </w:r>
          </w:p>
        </w:tc>
        <w:tc>
          <w:tcPr>
            <w:tcW w:w="2653" w:type="dxa"/>
            <w:vAlign w:val="center"/>
          </w:tcPr>
          <w:p>
            <w:pPr>
              <w:jc w:val="center"/>
              <w:rPr>
                <w:rFonts w:hint="default"/>
                <w:color w:val="000000"/>
              </w:rPr>
            </w:pPr>
            <w:r>
              <w:rPr>
                <w:rFonts w:hint="default"/>
                <w:color w:val="000000"/>
              </w:rPr>
              <w:t>《海水水质标准》   (GB3097- 1997)二类标准</w:t>
            </w:r>
          </w:p>
        </w:tc>
      </w:tr>
    </w:tbl>
    <w:p>
      <w:pPr>
        <w:pStyle w:val="70"/>
        <w:ind w:left="0" w:leftChars="0" w:firstLine="0" w:firstLineChars="0"/>
        <w:jc w:val="center"/>
        <w:rPr>
          <w:rFonts w:hint="eastAsia" w:eastAsia="宋体"/>
        </w:rPr>
      </w:pPr>
    </w:p>
    <w:p>
      <w:pPr>
        <w:pStyle w:val="15"/>
      </w:pPr>
      <w:bookmarkStart w:id="18" w:name="_Toc97912842"/>
      <w:r>
        <w:rPr>
          <w:rFonts w:hint="eastAsia"/>
        </w:rPr>
        <w:t>2</w:t>
      </w:r>
      <w:r>
        <w:t>.4.</w:t>
      </w:r>
      <w:r>
        <w:rPr>
          <w:rFonts w:hint="eastAsia"/>
          <w:lang w:val="en-US" w:eastAsia="zh-CN"/>
        </w:rPr>
        <w:t>2</w:t>
      </w:r>
      <w:r>
        <w:t>空气环境功能区划</w:t>
      </w:r>
      <w:bookmarkEnd w:id="18"/>
    </w:p>
    <w:p>
      <w:pPr>
        <w:pStyle w:val="70"/>
        <w:ind w:firstLine="480"/>
        <w:jc w:val="left"/>
        <w:rPr>
          <w:rFonts w:eastAsia="宋体"/>
        </w:rPr>
      </w:pPr>
      <w:r>
        <w:rPr>
          <w:rFonts w:hint="eastAsia" w:eastAsia="宋体"/>
        </w:rPr>
        <w:t>园区</w:t>
      </w:r>
      <w:r>
        <w:rPr>
          <w:rFonts w:hint="eastAsia" w:eastAsia="宋体"/>
          <w:lang w:val="en-US" w:eastAsia="zh-CN"/>
        </w:rPr>
        <w:t>位于</w:t>
      </w:r>
      <w:r>
        <w:rPr>
          <w:rFonts w:hint="eastAsia" w:eastAsia="宋体"/>
        </w:rPr>
        <w:t>台山市</w:t>
      </w:r>
      <w:r>
        <w:rPr>
          <w:rFonts w:hint="eastAsia" w:eastAsia="宋体"/>
          <w:lang w:val="en-US" w:eastAsia="zh-CN"/>
        </w:rPr>
        <w:t>广海镇</w:t>
      </w:r>
      <w:r>
        <w:rPr>
          <w:rFonts w:hint="eastAsia" w:eastAsia="宋体"/>
        </w:rPr>
        <w:t>，根据《江门市环境保护规划（2006-2020年）》，园区属于二类环境空气功能区，执行《环境空气质量标准》（GB3095-2012）中的二级标准 。</w:t>
      </w:r>
    </w:p>
    <w:p>
      <w:pPr>
        <w:pStyle w:val="15"/>
      </w:pPr>
      <w:bookmarkStart w:id="19" w:name="_Toc97912843"/>
      <w:r>
        <w:t>2.4.</w:t>
      </w:r>
      <w:r>
        <w:rPr>
          <w:rFonts w:hint="eastAsia"/>
          <w:lang w:val="en-US" w:eastAsia="zh-CN"/>
        </w:rPr>
        <w:t>3</w:t>
      </w:r>
      <w:r>
        <w:t>声环境功能区划</w:t>
      </w:r>
      <w:bookmarkEnd w:id="19"/>
    </w:p>
    <w:p>
      <w:pPr>
        <w:pStyle w:val="70"/>
        <w:ind w:firstLine="480"/>
        <w:jc w:val="left"/>
        <w:rPr>
          <w:rFonts w:eastAsia="宋体"/>
        </w:rPr>
      </w:pPr>
      <w:r>
        <w:rPr>
          <w:rFonts w:hint="eastAsia" w:eastAsia="宋体"/>
        </w:rPr>
        <w:t>根据《江门市声环境功能区划》（江环〔2019〕378号），园区属于3类环境功能区（编号3400</w:t>
      </w:r>
      <w:r>
        <w:rPr>
          <w:rFonts w:hint="eastAsia" w:eastAsia="宋体"/>
          <w:lang w:val="en-US" w:eastAsia="zh-CN"/>
        </w:rPr>
        <w:t>3</w:t>
      </w:r>
      <w:r>
        <w:rPr>
          <w:rFonts w:hint="eastAsia" w:eastAsia="宋体"/>
        </w:rPr>
        <w:t>），执行《声环境质量标准》（GB3096-2008）3类标准。园区内村庄、员工宿舍及周边村庄等敏感点属于2类声环境功能区，执行《声环境质量标准》（GB3096-2008）2类标准。</w:t>
      </w:r>
    </w:p>
    <w:p>
      <w:pPr>
        <w:pStyle w:val="15"/>
        <w:rPr>
          <w:rFonts w:hint="default"/>
          <w:lang w:val="en-US" w:eastAsia="zh-CN"/>
        </w:rPr>
      </w:pPr>
      <w:r>
        <w:rPr>
          <w:rFonts w:hint="eastAsia"/>
          <w:lang w:val="en-US" w:eastAsia="zh-CN"/>
        </w:rPr>
        <w:t>2.4.4地下水环境功能区</w:t>
      </w:r>
    </w:p>
    <w:p>
      <w:pPr>
        <w:pStyle w:val="70"/>
        <w:ind w:firstLine="480"/>
        <w:jc w:val="left"/>
        <w:rPr>
          <w:rFonts w:hint="default" w:ascii="Times New Roman" w:hAnsi="Times New Roman" w:eastAsia="宋体" w:cs="Times New Roman"/>
        </w:rPr>
        <w:sectPr>
          <w:pgSz w:w="11906" w:h="16838"/>
          <w:pgMar w:top="1440" w:right="1800" w:bottom="1440" w:left="1800" w:header="851" w:footer="992" w:gutter="0"/>
          <w:cols w:space="720" w:num="1"/>
          <w:docGrid w:type="lines" w:linePitch="312" w:charSpace="0"/>
        </w:sectPr>
      </w:pPr>
      <w:r>
        <w:rPr>
          <w:rFonts w:hint="default" w:ascii="Times New Roman" w:hAnsi="Times New Roman" w:eastAsia="宋体" w:cs="Times New Roman"/>
        </w:rPr>
        <w:t>根据《广东省地下水功能区划》（广东省水利厅，2009年8月），公司所在地属于粤西桂南沿海诸河江门台山新会不宜开采区，水质目标为Ⅴ类，地下水 水质类别执行《地下水质量标准》（GB/T14848-93）中的Ⅴ类水质标准。</w:t>
      </w:r>
    </w:p>
    <w:p>
      <w:pPr>
        <w:pStyle w:val="13"/>
        <w:keepNext/>
        <w:keepLines/>
        <w:pageBreakBefore w:val="0"/>
        <w:widowControl w:val="0"/>
        <w:kinsoku/>
        <w:wordWrap/>
        <w:overflowPunct/>
        <w:topLinePunct w:val="0"/>
        <w:autoSpaceDE/>
        <w:autoSpaceDN/>
        <w:bidi w:val="0"/>
        <w:adjustRightInd/>
        <w:snapToGrid/>
        <w:textAlignment w:val="auto"/>
      </w:pPr>
      <w:bookmarkStart w:id="20" w:name="_Toc97912845"/>
      <w:bookmarkStart w:id="21" w:name="_Toc1801"/>
      <w:r>
        <w:t>三</w:t>
      </w:r>
      <w:r>
        <w:rPr>
          <w:rFonts w:hint="eastAsia"/>
        </w:rPr>
        <w:t xml:space="preserve"> </w:t>
      </w:r>
      <w:r>
        <w:t>园区开发现状</w:t>
      </w:r>
      <w:bookmarkEnd w:id="20"/>
      <w:bookmarkEnd w:id="21"/>
    </w:p>
    <w:p>
      <w:pPr>
        <w:pStyle w:val="14"/>
      </w:pPr>
      <w:bookmarkStart w:id="22" w:name="_Toc31202"/>
      <w:bookmarkStart w:id="23" w:name="_Toc97912846"/>
      <w:r>
        <w:rPr>
          <w:rFonts w:hint="eastAsia"/>
        </w:rPr>
        <w:t>3</w:t>
      </w:r>
      <w:r>
        <w:t>.1产业发展现状</w:t>
      </w:r>
      <w:bookmarkEnd w:id="22"/>
      <w:bookmarkEnd w:id="23"/>
    </w:p>
    <w:p>
      <w:pPr>
        <w:pStyle w:val="70"/>
        <w:ind w:firstLine="480"/>
        <w:jc w:val="left"/>
        <w:rPr>
          <w:rFonts w:eastAsia="宋体"/>
        </w:rPr>
      </w:pPr>
      <w:r>
        <w:rPr>
          <w:rFonts w:hint="eastAsia" w:eastAsia="宋体"/>
        </w:rPr>
        <w:t>台山市广海镇大沙环保工业区</w:t>
      </w:r>
      <w:r>
        <w:rPr>
          <w:rFonts w:hint="eastAsia" w:eastAsia="宋体"/>
          <w:lang w:val="en-US" w:eastAsia="zh-CN"/>
        </w:rPr>
        <w:t>主要</w:t>
      </w:r>
      <w:r>
        <w:rPr>
          <w:rFonts w:hint="eastAsia" w:eastAsia="宋体"/>
        </w:rPr>
        <w:t>产业类型</w:t>
      </w:r>
      <w:r>
        <w:rPr>
          <w:rFonts w:hint="eastAsia" w:eastAsia="宋体"/>
          <w:lang w:val="en-US" w:eastAsia="zh-CN"/>
        </w:rPr>
        <w:t>为皮革加工生产和以皮革为原料的制衣、制鞋及皮具等，园区主要分布了4家企业及配套污水处理厂</w:t>
      </w:r>
      <w:r>
        <w:rPr>
          <w:rFonts w:hint="eastAsia" w:eastAsia="宋体"/>
        </w:rPr>
        <w:t>，</w:t>
      </w:r>
      <w:r>
        <w:rPr>
          <w:rFonts w:hint="eastAsia" w:eastAsia="宋体"/>
          <w:lang w:val="en-US" w:eastAsia="zh-CN"/>
        </w:rPr>
        <w:t>均</w:t>
      </w:r>
      <w:r>
        <w:rPr>
          <w:rFonts w:hint="eastAsia" w:eastAsia="宋体"/>
        </w:rPr>
        <w:t>正常生产（详见下表）。</w:t>
      </w:r>
    </w:p>
    <w:p>
      <w:pPr>
        <w:pStyle w:val="70"/>
        <w:ind w:firstLine="0" w:firstLineChars="0"/>
        <w:rPr>
          <w:rFonts w:eastAsia="宋体"/>
          <w:b/>
          <w:sz w:val="21"/>
          <w:szCs w:val="21"/>
        </w:rPr>
      </w:pPr>
      <w:r>
        <w:rPr>
          <w:rFonts w:eastAsia="宋体"/>
          <w:b/>
          <w:sz w:val="21"/>
          <w:szCs w:val="21"/>
        </w:rPr>
        <w:t>表3.1-1入园企业基本情况一览表</w:t>
      </w:r>
    </w:p>
    <w:tbl>
      <w:tblPr>
        <w:tblStyle w:val="35"/>
        <w:tblW w:w="501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3"/>
        <w:gridCol w:w="2764"/>
        <w:gridCol w:w="1793"/>
        <w:gridCol w:w="1819"/>
        <w:gridCol w:w="1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2" w:type="dxa"/>
            <w:shd w:val="clear" w:color="auto" w:fill="auto"/>
            <w:vAlign w:val="center"/>
          </w:tcPr>
          <w:p>
            <w:pPr>
              <w:jc w:val="center"/>
              <w:rPr>
                <w:rFonts w:ascii="Times New Roman" w:hAnsi="Times New Roman"/>
                <w:b/>
                <w:color w:val="000000"/>
                <w:kern w:val="0"/>
                <w:szCs w:val="21"/>
              </w:rPr>
            </w:pPr>
            <w:r>
              <w:rPr>
                <w:rFonts w:ascii="Times New Roman" w:hAnsi="Times New Roman"/>
                <w:b/>
                <w:color w:val="000000"/>
                <w:spacing w:val="-4"/>
                <w:kern w:val="0"/>
                <w:szCs w:val="21"/>
              </w:rPr>
              <w:t>序号</w:t>
            </w:r>
          </w:p>
        </w:tc>
        <w:tc>
          <w:tcPr>
            <w:tcW w:w="2761" w:type="dxa"/>
            <w:shd w:val="clear" w:color="auto" w:fill="auto"/>
            <w:vAlign w:val="center"/>
          </w:tcPr>
          <w:p>
            <w:pPr>
              <w:jc w:val="center"/>
              <w:rPr>
                <w:rFonts w:ascii="Times New Roman" w:hAnsi="Times New Roman"/>
                <w:b/>
                <w:color w:val="000000"/>
                <w:kern w:val="0"/>
                <w:szCs w:val="21"/>
              </w:rPr>
            </w:pPr>
            <w:r>
              <w:rPr>
                <w:rFonts w:ascii="Times New Roman" w:hAnsi="Times New Roman"/>
                <w:b/>
                <w:color w:val="000000"/>
                <w:spacing w:val="-3"/>
                <w:kern w:val="0"/>
                <w:szCs w:val="21"/>
              </w:rPr>
              <w:t>企业名称</w:t>
            </w:r>
          </w:p>
        </w:tc>
        <w:tc>
          <w:tcPr>
            <w:tcW w:w="1791" w:type="dxa"/>
            <w:shd w:val="clear" w:color="auto" w:fill="auto"/>
            <w:vAlign w:val="center"/>
          </w:tcPr>
          <w:p>
            <w:pPr>
              <w:jc w:val="center"/>
              <w:rPr>
                <w:rFonts w:hint="default" w:ascii="Times New Roman" w:hAnsi="Times New Roman" w:eastAsia="宋体"/>
                <w:b/>
                <w:color w:val="000000"/>
                <w:kern w:val="0"/>
                <w:szCs w:val="21"/>
                <w:lang w:val="en-US" w:eastAsia="zh-CN"/>
              </w:rPr>
            </w:pPr>
            <w:r>
              <w:rPr>
                <w:rFonts w:hint="eastAsia" w:ascii="Times New Roman" w:hAnsi="Times New Roman"/>
                <w:b/>
                <w:color w:val="000000"/>
                <w:spacing w:val="-10"/>
                <w:kern w:val="0"/>
                <w:szCs w:val="21"/>
                <w:lang w:val="en-US" w:eastAsia="zh-CN"/>
              </w:rPr>
              <w:t>行业类别</w:t>
            </w:r>
          </w:p>
        </w:tc>
        <w:tc>
          <w:tcPr>
            <w:tcW w:w="1817" w:type="dxa"/>
            <w:shd w:val="clear" w:color="auto" w:fill="auto"/>
            <w:vAlign w:val="center"/>
          </w:tcPr>
          <w:p>
            <w:pPr>
              <w:jc w:val="center"/>
              <w:rPr>
                <w:rFonts w:hint="default" w:ascii="Times New Roman" w:hAnsi="Times New Roman" w:eastAsia="宋体"/>
                <w:b/>
                <w:color w:val="000000"/>
                <w:kern w:val="0"/>
                <w:szCs w:val="21"/>
                <w:lang w:val="en-US" w:eastAsia="zh-CN"/>
              </w:rPr>
            </w:pPr>
            <w:r>
              <w:rPr>
                <w:rFonts w:hint="eastAsia" w:ascii="Times New Roman" w:hAnsi="Times New Roman"/>
                <w:b/>
                <w:color w:val="000000"/>
                <w:spacing w:val="-2"/>
                <w:kern w:val="0"/>
                <w:szCs w:val="21"/>
                <w:lang w:val="en-US" w:eastAsia="zh-CN"/>
              </w:rPr>
              <w:t>主要产品</w:t>
            </w:r>
          </w:p>
        </w:tc>
        <w:tc>
          <w:tcPr>
            <w:tcW w:w="1315" w:type="dxa"/>
            <w:shd w:val="clear" w:color="auto" w:fill="auto"/>
            <w:vAlign w:val="center"/>
          </w:tcPr>
          <w:p>
            <w:pPr>
              <w:jc w:val="center"/>
              <w:rPr>
                <w:rFonts w:ascii="Times New Roman" w:hAnsi="Times New Roman"/>
                <w:b/>
                <w:color w:val="000000"/>
                <w:kern w:val="0"/>
                <w:szCs w:val="21"/>
              </w:rPr>
            </w:pPr>
            <w:r>
              <w:rPr>
                <w:rFonts w:ascii="Times New Roman" w:hAnsi="Times New Roman"/>
                <w:b/>
                <w:color w:val="000000"/>
                <w:spacing w:val="-2"/>
                <w:kern w:val="0"/>
                <w:szCs w:val="21"/>
              </w:rPr>
              <w:t>生产情况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2" w:type="dxa"/>
            <w:shd w:val="clear" w:color="auto" w:fill="auto"/>
            <w:vAlign w:val="center"/>
          </w:tcPr>
          <w:p>
            <w:pPr>
              <w:jc w:val="center"/>
              <w:rPr>
                <w:rFonts w:ascii="Times New Roman" w:hAnsi="Times New Roman"/>
                <w:color w:val="000000"/>
                <w:kern w:val="0"/>
                <w:szCs w:val="21"/>
              </w:rPr>
            </w:pPr>
            <w:r>
              <w:rPr>
                <w:rFonts w:ascii="Times New Roman" w:hAnsi="Times New Roman"/>
                <w:color w:val="000000"/>
                <w:kern w:val="0"/>
                <w:szCs w:val="21"/>
              </w:rPr>
              <w:t>1</w:t>
            </w:r>
          </w:p>
        </w:tc>
        <w:tc>
          <w:tcPr>
            <w:tcW w:w="2761" w:type="dxa"/>
            <w:shd w:val="clear" w:color="auto" w:fill="auto"/>
            <w:vAlign w:val="center"/>
          </w:tcPr>
          <w:p>
            <w:pPr>
              <w:jc w:val="center"/>
              <w:rPr>
                <w:rFonts w:ascii="Times New Roman" w:hAnsi="Times New Roman"/>
                <w:color w:val="000000"/>
                <w:kern w:val="0"/>
                <w:szCs w:val="21"/>
              </w:rPr>
            </w:pPr>
            <w:r>
              <w:rPr>
                <w:rFonts w:hint="eastAsia" w:ascii="Times New Roman" w:hAnsi="Times New Roman"/>
                <w:color w:val="000000"/>
                <w:spacing w:val="-1"/>
                <w:kern w:val="0"/>
                <w:szCs w:val="21"/>
              </w:rPr>
              <w:t>台山市昌荣皮业有限公司</w:t>
            </w:r>
          </w:p>
        </w:tc>
        <w:tc>
          <w:tcPr>
            <w:tcW w:w="1791" w:type="dxa"/>
            <w:shd w:val="clear" w:color="auto" w:fill="auto"/>
            <w:vAlign w:val="center"/>
          </w:tcPr>
          <w:p>
            <w:pPr>
              <w:jc w:val="center"/>
              <w:rPr>
                <w:rFonts w:ascii="Times New Roman" w:hAnsi="Times New Roman"/>
                <w:color w:val="000000"/>
                <w:kern w:val="0"/>
                <w:szCs w:val="21"/>
              </w:rPr>
            </w:pPr>
            <w:r>
              <w:rPr>
                <w:rFonts w:hint="eastAsia" w:ascii="Times New Roman" w:hAnsi="Times New Roman"/>
                <w:color w:val="000000"/>
                <w:spacing w:val="-4"/>
                <w:kern w:val="0"/>
                <w:szCs w:val="21"/>
              </w:rPr>
              <w:t>皮革鞣制加工、毛皮鞣制加工</w:t>
            </w:r>
          </w:p>
        </w:tc>
        <w:tc>
          <w:tcPr>
            <w:tcW w:w="1817" w:type="dxa"/>
            <w:shd w:val="clear" w:color="auto" w:fill="auto"/>
            <w:vAlign w:val="center"/>
          </w:tcPr>
          <w:p>
            <w:pPr>
              <w:jc w:val="center"/>
              <w:rPr>
                <w:rFonts w:ascii="Times New Roman" w:hAnsi="Times New Roman"/>
                <w:color w:val="000000"/>
                <w:kern w:val="0"/>
                <w:szCs w:val="21"/>
              </w:rPr>
            </w:pPr>
            <w:r>
              <w:rPr>
                <w:rFonts w:hint="eastAsia" w:ascii="Times New Roman" w:hAnsi="Times New Roman"/>
                <w:color w:val="000000"/>
                <w:spacing w:val="-4"/>
                <w:kern w:val="0"/>
                <w:szCs w:val="21"/>
              </w:rPr>
              <w:t>牛皮、猪皮、羊皮</w:t>
            </w:r>
          </w:p>
        </w:tc>
        <w:tc>
          <w:tcPr>
            <w:tcW w:w="1315" w:type="dxa"/>
            <w:shd w:val="clear" w:color="auto" w:fill="auto"/>
            <w:vAlign w:val="center"/>
          </w:tcPr>
          <w:p>
            <w:pPr>
              <w:jc w:val="center"/>
              <w:rPr>
                <w:rFonts w:ascii="Times New Roman" w:hAnsi="Times New Roman"/>
                <w:color w:val="000000"/>
                <w:kern w:val="0"/>
                <w:szCs w:val="21"/>
              </w:rPr>
            </w:pPr>
            <w:r>
              <w:rPr>
                <w:rFonts w:ascii="Times New Roman" w:hAnsi="Times New Roman"/>
                <w:color w:val="000000"/>
                <w:spacing w:val="-4"/>
                <w:kern w:val="0"/>
                <w:szCs w:val="21"/>
              </w:rPr>
              <w:t>正常生产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2" w:type="dxa"/>
            <w:shd w:val="clear" w:color="auto" w:fill="auto"/>
            <w:vAlign w:val="center"/>
          </w:tcPr>
          <w:p>
            <w:pPr>
              <w:jc w:val="center"/>
              <w:rPr>
                <w:rFonts w:ascii="Times New Roman" w:hAnsi="Times New Roman"/>
                <w:color w:val="000000"/>
                <w:kern w:val="0"/>
                <w:szCs w:val="21"/>
              </w:rPr>
            </w:pPr>
            <w:r>
              <w:rPr>
                <w:rFonts w:ascii="Times New Roman" w:hAnsi="Times New Roman"/>
                <w:color w:val="000000"/>
                <w:kern w:val="0"/>
                <w:szCs w:val="21"/>
              </w:rPr>
              <w:t>2</w:t>
            </w:r>
          </w:p>
        </w:tc>
        <w:tc>
          <w:tcPr>
            <w:tcW w:w="2761" w:type="dxa"/>
            <w:shd w:val="clear" w:color="auto" w:fill="auto"/>
            <w:vAlign w:val="center"/>
          </w:tcPr>
          <w:p>
            <w:pPr>
              <w:jc w:val="center"/>
              <w:rPr>
                <w:rFonts w:ascii="Times New Roman" w:hAnsi="Times New Roman"/>
                <w:color w:val="000000"/>
                <w:kern w:val="0"/>
                <w:szCs w:val="21"/>
              </w:rPr>
            </w:pPr>
            <w:r>
              <w:rPr>
                <w:rFonts w:hint="eastAsia" w:ascii="Times New Roman" w:hAnsi="Times New Roman"/>
                <w:color w:val="000000"/>
                <w:spacing w:val="-2"/>
                <w:kern w:val="0"/>
                <w:szCs w:val="21"/>
              </w:rPr>
              <w:t>台山广扬皮业有限公司</w:t>
            </w:r>
          </w:p>
        </w:tc>
        <w:tc>
          <w:tcPr>
            <w:tcW w:w="1791" w:type="dxa"/>
            <w:shd w:val="clear" w:color="auto" w:fill="auto"/>
            <w:vAlign w:val="center"/>
          </w:tcPr>
          <w:p>
            <w:pPr>
              <w:jc w:val="center"/>
              <w:rPr>
                <w:rFonts w:ascii="Times New Roman" w:hAnsi="Times New Roman"/>
                <w:color w:val="000000"/>
                <w:kern w:val="0"/>
                <w:szCs w:val="21"/>
              </w:rPr>
            </w:pPr>
            <w:r>
              <w:rPr>
                <w:rFonts w:hint="eastAsia" w:ascii="Times New Roman" w:hAnsi="Times New Roman"/>
                <w:color w:val="000000"/>
                <w:spacing w:val="-4"/>
                <w:kern w:val="0"/>
                <w:szCs w:val="21"/>
              </w:rPr>
              <w:t>皮革、毛皮、羽毛及其制品和制鞋业</w:t>
            </w:r>
          </w:p>
        </w:tc>
        <w:tc>
          <w:tcPr>
            <w:tcW w:w="1817" w:type="dxa"/>
            <w:shd w:val="clear" w:color="auto" w:fill="auto"/>
            <w:vAlign w:val="center"/>
          </w:tcPr>
          <w:p>
            <w:pPr>
              <w:jc w:val="center"/>
              <w:rPr>
                <w:rFonts w:ascii="Times New Roman" w:hAnsi="Times New Roman"/>
                <w:color w:val="000000"/>
                <w:kern w:val="0"/>
                <w:szCs w:val="21"/>
              </w:rPr>
            </w:pPr>
            <w:r>
              <w:rPr>
                <w:rFonts w:hint="eastAsia" w:ascii="Times New Roman" w:hAnsi="Times New Roman"/>
                <w:color w:val="000000"/>
                <w:spacing w:val="-5"/>
                <w:kern w:val="0"/>
                <w:szCs w:val="21"/>
              </w:rPr>
              <w:t>牛皮</w:t>
            </w:r>
          </w:p>
        </w:tc>
        <w:tc>
          <w:tcPr>
            <w:tcW w:w="1315" w:type="dxa"/>
            <w:shd w:val="clear" w:color="auto" w:fill="auto"/>
            <w:vAlign w:val="center"/>
          </w:tcPr>
          <w:p>
            <w:pPr>
              <w:jc w:val="center"/>
              <w:rPr>
                <w:rFonts w:ascii="Times New Roman" w:hAnsi="Times New Roman"/>
                <w:color w:val="000000"/>
                <w:kern w:val="0"/>
                <w:szCs w:val="21"/>
              </w:rPr>
            </w:pPr>
            <w:r>
              <w:rPr>
                <w:rFonts w:ascii="Times New Roman" w:hAnsi="Times New Roman"/>
                <w:color w:val="000000"/>
                <w:spacing w:val="-4"/>
                <w:kern w:val="0"/>
                <w:szCs w:val="21"/>
              </w:rPr>
              <w:t>正常生产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2" w:type="dxa"/>
            <w:shd w:val="clear" w:color="auto" w:fill="auto"/>
            <w:vAlign w:val="center"/>
          </w:tcPr>
          <w:p>
            <w:pPr>
              <w:jc w:val="center"/>
              <w:rPr>
                <w:rFonts w:ascii="Times New Roman" w:hAnsi="Times New Roman"/>
                <w:color w:val="000000"/>
                <w:kern w:val="0"/>
                <w:szCs w:val="21"/>
              </w:rPr>
            </w:pPr>
            <w:r>
              <w:rPr>
                <w:rFonts w:ascii="Times New Roman" w:hAnsi="Times New Roman"/>
                <w:color w:val="000000"/>
                <w:kern w:val="0"/>
                <w:szCs w:val="21"/>
              </w:rPr>
              <w:t>3</w:t>
            </w:r>
          </w:p>
        </w:tc>
        <w:tc>
          <w:tcPr>
            <w:tcW w:w="2761" w:type="dxa"/>
            <w:shd w:val="clear" w:color="auto" w:fill="auto"/>
            <w:vAlign w:val="center"/>
          </w:tcPr>
          <w:p>
            <w:pPr>
              <w:jc w:val="center"/>
              <w:rPr>
                <w:rFonts w:ascii="Times New Roman" w:hAnsi="Times New Roman"/>
                <w:color w:val="000000"/>
                <w:kern w:val="0"/>
                <w:szCs w:val="21"/>
              </w:rPr>
            </w:pPr>
            <w:r>
              <w:rPr>
                <w:rFonts w:hint="eastAsia" w:ascii="Times New Roman" w:hAnsi="Times New Roman"/>
                <w:color w:val="000000"/>
                <w:spacing w:val="-2"/>
                <w:kern w:val="0"/>
                <w:szCs w:val="21"/>
              </w:rPr>
              <w:t>台山市广一皮业有限公司</w:t>
            </w:r>
          </w:p>
        </w:tc>
        <w:tc>
          <w:tcPr>
            <w:tcW w:w="1791" w:type="dxa"/>
            <w:shd w:val="clear" w:color="auto" w:fill="auto"/>
            <w:vAlign w:val="center"/>
          </w:tcPr>
          <w:p>
            <w:pPr>
              <w:jc w:val="center"/>
              <w:rPr>
                <w:rFonts w:ascii="Times New Roman" w:hAnsi="Times New Roman"/>
                <w:color w:val="000000"/>
                <w:kern w:val="0"/>
                <w:szCs w:val="21"/>
              </w:rPr>
            </w:pPr>
            <w:r>
              <w:rPr>
                <w:rFonts w:hint="eastAsia" w:ascii="Times New Roman" w:hAnsi="Times New Roman"/>
                <w:color w:val="000000"/>
                <w:spacing w:val="-4"/>
                <w:kern w:val="0"/>
                <w:szCs w:val="21"/>
              </w:rPr>
              <w:t>毛皮鞣制及制品加工</w:t>
            </w:r>
          </w:p>
        </w:tc>
        <w:tc>
          <w:tcPr>
            <w:tcW w:w="1817" w:type="dxa"/>
            <w:shd w:val="clear" w:color="auto" w:fill="auto"/>
            <w:vAlign w:val="center"/>
          </w:tcPr>
          <w:p>
            <w:pPr>
              <w:jc w:val="center"/>
              <w:rPr>
                <w:rFonts w:ascii="Times New Roman" w:hAnsi="Times New Roman"/>
                <w:color w:val="000000"/>
                <w:kern w:val="0"/>
                <w:szCs w:val="21"/>
              </w:rPr>
            </w:pPr>
            <w:r>
              <w:rPr>
                <w:rFonts w:hint="eastAsia" w:ascii="Times New Roman" w:hAnsi="Times New Roman"/>
                <w:color w:val="000000"/>
                <w:spacing w:val="-5"/>
                <w:kern w:val="0"/>
                <w:szCs w:val="21"/>
              </w:rPr>
              <w:t>毛皮</w:t>
            </w:r>
          </w:p>
        </w:tc>
        <w:tc>
          <w:tcPr>
            <w:tcW w:w="1315" w:type="dxa"/>
            <w:shd w:val="clear" w:color="auto" w:fill="auto"/>
            <w:vAlign w:val="center"/>
          </w:tcPr>
          <w:p>
            <w:pPr>
              <w:jc w:val="center"/>
              <w:rPr>
                <w:rFonts w:ascii="Times New Roman" w:hAnsi="Times New Roman"/>
                <w:color w:val="000000"/>
                <w:kern w:val="0"/>
                <w:szCs w:val="21"/>
              </w:rPr>
            </w:pPr>
            <w:r>
              <w:rPr>
                <w:rFonts w:ascii="Times New Roman" w:hAnsi="Times New Roman"/>
                <w:color w:val="000000"/>
                <w:spacing w:val="-4"/>
                <w:kern w:val="0"/>
                <w:szCs w:val="21"/>
              </w:rPr>
              <w:t>正常生产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42" w:type="dxa"/>
            <w:shd w:val="clear" w:color="auto" w:fill="auto"/>
            <w:vAlign w:val="center"/>
          </w:tcPr>
          <w:p>
            <w:pPr>
              <w:jc w:val="center"/>
              <w:rPr>
                <w:rFonts w:ascii="Times New Roman" w:hAnsi="Times New Roman"/>
                <w:color w:val="000000"/>
                <w:kern w:val="0"/>
                <w:szCs w:val="21"/>
              </w:rPr>
            </w:pPr>
            <w:r>
              <w:rPr>
                <w:rFonts w:ascii="Times New Roman" w:hAnsi="Times New Roman"/>
                <w:color w:val="000000"/>
                <w:kern w:val="0"/>
                <w:szCs w:val="21"/>
              </w:rPr>
              <w:t>4</w:t>
            </w:r>
          </w:p>
        </w:tc>
        <w:tc>
          <w:tcPr>
            <w:tcW w:w="2761" w:type="dxa"/>
            <w:shd w:val="clear" w:color="auto" w:fill="auto"/>
            <w:vAlign w:val="center"/>
          </w:tcPr>
          <w:p>
            <w:pPr>
              <w:jc w:val="center"/>
              <w:rPr>
                <w:rFonts w:ascii="Times New Roman" w:hAnsi="Times New Roman"/>
                <w:color w:val="000000"/>
                <w:kern w:val="0"/>
                <w:szCs w:val="21"/>
              </w:rPr>
            </w:pPr>
            <w:r>
              <w:rPr>
                <w:rFonts w:hint="eastAsia" w:ascii="Times New Roman" w:hAnsi="Times New Roman"/>
                <w:color w:val="000000"/>
                <w:spacing w:val="-1"/>
                <w:kern w:val="0"/>
                <w:szCs w:val="21"/>
              </w:rPr>
              <w:t>浩源皮业（台山）有限公司</w:t>
            </w:r>
          </w:p>
        </w:tc>
        <w:tc>
          <w:tcPr>
            <w:tcW w:w="1791" w:type="dxa"/>
            <w:shd w:val="clear" w:color="auto" w:fill="auto"/>
            <w:vAlign w:val="center"/>
          </w:tcPr>
          <w:p>
            <w:pPr>
              <w:jc w:val="center"/>
              <w:rPr>
                <w:rFonts w:ascii="Times New Roman" w:hAnsi="Times New Roman"/>
                <w:color w:val="000000"/>
                <w:kern w:val="0"/>
                <w:szCs w:val="21"/>
              </w:rPr>
            </w:pPr>
            <w:r>
              <w:rPr>
                <w:rFonts w:hint="eastAsia" w:ascii="Times New Roman" w:hAnsi="Times New Roman"/>
                <w:color w:val="000000"/>
                <w:spacing w:val="-4"/>
                <w:kern w:val="0"/>
                <w:szCs w:val="21"/>
              </w:rPr>
              <w:t>皮革鞣制加工、毛皮鞣制加工</w:t>
            </w:r>
          </w:p>
        </w:tc>
        <w:tc>
          <w:tcPr>
            <w:tcW w:w="1817" w:type="dxa"/>
            <w:shd w:val="clear" w:color="auto" w:fill="auto"/>
            <w:vAlign w:val="center"/>
          </w:tcPr>
          <w:p>
            <w:pPr>
              <w:jc w:val="center"/>
              <w:rPr>
                <w:rFonts w:ascii="Times New Roman" w:hAnsi="Times New Roman"/>
                <w:color w:val="000000"/>
                <w:kern w:val="0"/>
                <w:szCs w:val="21"/>
              </w:rPr>
            </w:pPr>
            <w:r>
              <w:rPr>
                <w:rFonts w:hint="eastAsia" w:ascii="Times New Roman" w:hAnsi="Times New Roman"/>
                <w:color w:val="000000"/>
                <w:spacing w:val="-5"/>
                <w:kern w:val="0"/>
                <w:szCs w:val="21"/>
              </w:rPr>
              <w:t>牛皮、猪皮、羊皮</w:t>
            </w:r>
          </w:p>
        </w:tc>
        <w:tc>
          <w:tcPr>
            <w:tcW w:w="1315" w:type="dxa"/>
            <w:shd w:val="clear" w:color="auto" w:fill="auto"/>
            <w:vAlign w:val="center"/>
          </w:tcPr>
          <w:p>
            <w:pPr>
              <w:jc w:val="center"/>
              <w:rPr>
                <w:rFonts w:ascii="Times New Roman" w:hAnsi="Times New Roman"/>
                <w:color w:val="000000"/>
                <w:kern w:val="0"/>
                <w:szCs w:val="21"/>
              </w:rPr>
            </w:pPr>
            <w:r>
              <w:rPr>
                <w:rFonts w:ascii="Times New Roman" w:hAnsi="Times New Roman"/>
                <w:color w:val="000000"/>
                <w:spacing w:val="-4"/>
                <w:kern w:val="0"/>
                <w:szCs w:val="21"/>
              </w:rPr>
              <w:t>正常生产</w:t>
            </w:r>
          </w:p>
        </w:tc>
      </w:tr>
    </w:tbl>
    <w:p>
      <w:pPr>
        <w:pStyle w:val="70"/>
        <w:ind w:firstLine="480"/>
        <w:jc w:val="left"/>
        <w:rPr>
          <w:rFonts w:hint="default" w:eastAsia="宋体"/>
          <w:lang w:val="en-US" w:eastAsia="zh-CN"/>
        </w:rPr>
      </w:pPr>
      <w:r>
        <w:rPr>
          <w:rFonts w:hint="eastAsia" w:eastAsia="宋体"/>
          <w:lang w:val="en-US" w:eastAsia="zh-CN"/>
        </w:rPr>
        <w:t>园区企业现状情况如下图：</w:t>
      </w:r>
    </w:p>
    <w:tbl>
      <w:tblPr>
        <w:tblStyle w:val="35"/>
        <w:tblW w:w="504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234"/>
        <w:gridCol w:w="4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229" w:type="dxa"/>
            <w:shd w:val="clear" w:color="auto" w:fill="auto"/>
            <w:vAlign w:val="center"/>
          </w:tcPr>
          <w:p>
            <w:pPr>
              <w:jc w:val="center"/>
              <w:rPr>
                <w:rFonts w:hint="eastAsia" w:ascii="Times New Roman" w:hAnsi="Times New Roman" w:eastAsia="宋体"/>
                <w:b/>
                <w:color w:val="000000"/>
                <w:kern w:val="0"/>
                <w:szCs w:val="21"/>
                <w:lang w:eastAsia="zh-CN"/>
              </w:rPr>
            </w:pPr>
            <w:r>
              <w:rPr>
                <w:rFonts w:hint="eastAsia" w:ascii="Times New Roman" w:hAnsi="Times New Roman" w:eastAsia="宋体"/>
                <w:b/>
                <w:color w:val="000000"/>
                <w:kern w:val="0"/>
                <w:szCs w:val="21"/>
                <w:lang w:eastAsia="zh-CN"/>
              </w:rPr>
              <w:drawing>
                <wp:inline distT="0" distB="0" distL="114300" distR="114300">
                  <wp:extent cx="2667635" cy="2117090"/>
                  <wp:effectExtent l="0" t="0" r="18415" b="16510"/>
                  <wp:docPr id="2" name="图片 4" descr="昌荣门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昌荣门口"/>
                          <pic:cNvPicPr>
                            <a:picLocks noChangeAspect="1"/>
                          </pic:cNvPicPr>
                        </pic:nvPicPr>
                        <pic:blipFill>
                          <a:blip r:embed="rId6"/>
                          <a:srcRect l="46826" t="17857" b="25891"/>
                          <a:stretch>
                            <a:fillRect/>
                          </a:stretch>
                        </pic:blipFill>
                        <pic:spPr>
                          <a:xfrm>
                            <a:off x="0" y="0"/>
                            <a:ext cx="2667635" cy="2117090"/>
                          </a:xfrm>
                          <a:prstGeom prst="rect">
                            <a:avLst/>
                          </a:prstGeom>
                          <a:noFill/>
                          <a:ln>
                            <a:noFill/>
                          </a:ln>
                        </pic:spPr>
                      </pic:pic>
                    </a:graphicData>
                  </a:graphic>
                </wp:inline>
              </w:drawing>
            </w:r>
          </w:p>
        </w:tc>
        <w:tc>
          <w:tcPr>
            <w:tcW w:w="4147" w:type="dxa"/>
            <w:shd w:val="clear" w:color="auto" w:fill="auto"/>
            <w:vAlign w:val="center"/>
          </w:tcPr>
          <w:p>
            <w:pPr>
              <w:jc w:val="center"/>
              <w:rPr>
                <w:rFonts w:hint="default" w:ascii="Times New Roman" w:hAnsi="Times New Roman" w:eastAsia="宋体"/>
                <w:b/>
                <w:color w:val="000000"/>
                <w:kern w:val="0"/>
                <w:szCs w:val="21"/>
                <w:lang w:val="en-US" w:eastAsia="zh-CN"/>
              </w:rPr>
            </w:pPr>
            <w:r>
              <w:rPr>
                <w:rFonts w:hint="default" w:ascii="Times New Roman" w:hAnsi="Times New Roman" w:eastAsia="宋体"/>
                <w:b/>
                <w:color w:val="000000"/>
                <w:kern w:val="0"/>
                <w:szCs w:val="21"/>
                <w:lang w:val="en-US" w:eastAsia="zh-CN"/>
              </w:rPr>
              <w:drawing>
                <wp:inline distT="0" distB="0" distL="114300" distR="114300">
                  <wp:extent cx="2609850" cy="2090420"/>
                  <wp:effectExtent l="0" t="0" r="0" b="5080"/>
                  <wp:docPr id="3" name="图片 5" descr="广扬门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广扬门口"/>
                          <pic:cNvPicPr>
                            <a:picLocks noChangeAspect="1"/>
                          </pic:cNvPicPr>
                        </pic:nvPicPr>
                        <pic:blipFill>
                          <a:blip r:embed="rId7"/>
                          <a:srcRect l="23257" t="18358" r="23218" b="24500"/>
                          <a:stretch>
                            <a:fillRect/>
                          </a:stretch>
                        </pic:blipFill>
                        <pic:spPr>
                          <a:xfrm>
                            <a:off x="0" y="0"/>
                            <a:ext cx="2609850" cy="209042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229" w:type="dxa"/>
            <w:shd w:val="clear" w:color="auto" w:fill="auto"/>
            <w:vAlign w:val="center"/>
          </w:tcPr>
          <w:p>
            <w:pPr>
              <w:jc w:val="center"/>
              <w:rPr>
                <w:rFonts w:ascii="Times New Roman" w:hAnsi="Times New Roman"/>
                <w:color w:val="000000"/>
                <w:kern w:val="0"/>
                <w:szCs w:val="21"/>
              </w:rPr>
            </w:pPr>
            <w:r>
              <w:rPr>
                <w:rFonts w:hint="eastAsia" w:ascii="Times New Roman" w:hAnsi="Times New Roman"/>
                <w:color w:val="000000"/>
                <w:spacing w:val="-1"/>
                <w:kern w:val="0"/>
                <w:szCs w:val="21"/>
              </w:rPr>
              <w:t>台山市昌荣皮业有限公司</w:t>
            </w:r>
          </w:p>
        </w:tc>
        <w:tc>
          <w:tcPr>
            <w:tcW w:w="4147" w:type="dxa"/>
            <w:shd w:val="clear" w:color="auto" w:fill="auto"/>
            <w:vAlign w:val="center"/>
          </w:tcPr>
          <w:p>
            <w:pPr>
              <w:jc w:val="center"/>
              <w:rPr>
                <w:rFonts w:ascii="Times New Roman" w:hAnsi="Times New Roman"/>
                <w:color w:val="000000"/>
                <w:kern w:val="0"/>
                <w:szCs w:val="21"/>
              </w:rPr>
            </w:pPr>
            <w:r>
              <w:rPr>
                <w:rFonts w:hint="eastAsia" w:ascii="Times New Roman" w:hAnsi="Times New Roman"/>
                <w:color w:val="000000"/>
                <w:spacing w:val="-2"/>
                <w:kern w:val="0"/>
                <w:szCs w:val="21"/>
              </w:rPr>
              <w:t>台山广扬皮业有限公司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229" w:type="dxa"/>
            <w:shd w:val="clear" w:color="auto" w:fill="auto"/>
            <w:vAlign w:val="center"/>
          </w:tcPr>
          <w:p>
            <w:pPr>
              <w:jc w:val="center"/>
              <w:rPr>
                <w:rFonts w:hint="eastAsia" w:ascii="Times New Roman" w:hAnsi="Times New Roman" w:eastAsia="宋体"/>
                <w:color w:val="000000"/>
                <w:kern w:val="0"/>
                <w:szCs w:val="21"/>
                <w:lang w:eastAsia="zh-CN"/>
              </w:rPr>
            </w:pPr>
            <w:r>
              <w:rPr>
                <w:rFonts w:hint="eastAsia" w:ascii="Times New Roman" w:hAnsi="Times New Roman" w:eastAsia="宋体"/>
                <w:color w:val="000000"/>
                <w:kern w:val="0"/>
                <w:szCs w:val="21"/>
                <w:lang w:eastAsia="zh-CN"/>
              </w:rPr>
              <w:drawing>
                <wp:inline distT="0" distB="0" distL="114300" distR="114300">
                  <wp:extent cx="2660015" cy="2011680"/>
                  <wp:effectExtent l="0" t="0" r="6985" b="7620"/>
                  <wp:docPr id="4" name="图片 6" descr="广一门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广一门口"/>
                          <pic:cNvPicPr>
                            <a:picLocks noChangeAspect="1"/>
                          </pic:cNvPicPr>
                        </pic:nvPicPr>
                        <pic:blipFill>
                          <a:blip r:embed="rId8"/>
                          <a:srcRect l="546" b="-285"/>
                          <a:stretch>
                            <a:fillRect/>
                          </a:stretch>
                        </pic:blipFill>
                        <pic:spPr>
                          <a:xfrm>
                            <a:off x="0" y="0"/>
                            <a:ext cx="2660015" cy="2011680"/>
                          </a:xfrm>
                          <a:prstGeom prst="rect">
                            <a:avLst/>
                          </a:prstGeom>
                          <a:noFill/>
                          <a:ln>
                            <a:noFill/>
                          </a:ln>
                        </pic:spPr>
                      </pic:pic>
                    </a:graphicData>
                  </a:graphic>
                </wp:inline>
              </w:drawing>
            </w:r>
          </w:p>
        </w:tc>
        <w:tc>
          <w:tcPr>
            <w:tcW w:w="4147" w:type="dxa"/>
            <w:shd w:val="clear" w:color="auto" w:fill="auto"/>
            <w:vAlign w:val="center"/>
          </w:tcPr>
          <w:p>
            <w:pPr>
              <w:jc w:val="center"/>
              <w:rPr>
                <w:rFonts w:hint="eastAsia" w:ascii="Times New Roman" w:hAnsi="Times New Roman" w:eastAsia="宋体"/>
                <w:color w:val="000000"/>
                <w:kern w:val="0"/>
                <w:szCs w:val="21"/>
                <w:lang w:eastAsia="zh-CN"/>
              </w:rPr>
            </w:pPr>
            <w:r>
              <w:drawing>
                <wp:inline distT="0" distB="0" distL="114300" distR="114300">
                  <wp:extent cx="2626360" cy="1963420"/>
                  <wp:effectExtent l="0" t="0" r="2540" b="17780"/>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pic:cNvPicPr>
                        </pic:nvPicPr>
                        <pic:blipFill>
                          <a:blip r:embed="rId9"/>
                          <a:stretch>
                            <a:fillRect/>
                          </a:stretch>
                        </pic:blipFill>
                        <pic:spPr>
                          <a:xfrm>
                            <a:off x="0" y="0"/>
                            <a:ext cx="2626360" cy="196342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229" w:type="dxa"/>
            <w:shd w:val="clear" w:color="auto" w:fill="auto"/>
            <w:vAlign w:val="center"/>
          </w:tcPr>
          <w:p>
            <w:pPr>
              <w:jc w:val="center"/>
              <w:rPr>
                <w:rFonts w:ascii="Times New Roman" w:hAnsi="Times New Roman"/>
                <w:color w:val="000000"/>
                <w:kern w:val="0"/>
                <w:szCs w:val="21"/>
              </w:rPr>
            </w:pPr>
            <w:r>
              <w:rPr>
                <w:rFonts w:hint="eastAsia" w:ascii="Times New Roman" w:hAnsi="Times New Roman"/>
                <w:color w:val="000000"/>
                <w:spacing w:val="-2"/>
                <w:kern w:val="0"/>
                <w:szCs w:val="21"/>
              </w:rPr>
              <w:t>台山市广一皮业有限公司</w:t>
            </w:r>
          </w:p>
        </w:tc>
        <w:tc>
          <w:tcPr>
            <w:tcW w:w="4147" w:type="dxa"/>
            <w:shd w:val="clear" w:color="auto" w:fill="auto"/>
            <w:vAlign w:val="center"/>
          </w:tcPr>
          <w:p>
            <w:pPr>
              <w:jc w:val="center"/>
              <w:rPr>
                <w:rFonts w:ascii="Times New Roman" w:hAnsi="Times New Roman"/>
                <w:color w:val="000000"/>
                <w:kern w:val="0"/>
                <w:szCs w:val="21"/>
              </w:rPr>
            </w:pPr>
            <w:r>
              <w:rPr>
                <w:rFonts w:hint="eastAsia" w:ascii="Times New Roman" w:hAnsi="Times New Roman"/>
                <w:color w:val="000000"/>
                <w:spacing w:val="-1"/>
                <w:kern w:val="0"/>
                <w:szCs w:val="21"/>
              </w:rPr>
              <w:t>浩源皮业（台山）有限公司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4" w:hRule="atLeast"/>
          <w:jc w:val="center"/>
        </w:trPr>
        <w:tc>
          <w:tcPr>
            <w:tcW w:w="8376" w:type="dxa"/>
            <w:gridSpan w:val="2"/>
            <w:shd w:val="clear" w:color="auto" w:fill="auto"/>
            <w:vAlign w:val="center"/>
          </w:tcPr>
          <w:p>
            <w:pPr>
              <w:jc w:val="center"/>
              <w:rPr>
                <w:rFonts w:hint="eastAsia" w:ascii="Times New Roman" w:hAnsi="Times New Roman" w:eastAsia="宋体"/>
                <w:color w:val="000000"/>
                <w:spacing w:val="-1"/>
                <w:kern w:val="0"/>
                <w:szCs w:val="21"/>
                <w:lang w:eastAsia="zh-CN"/>
              </w:rPr>
            </w:pPr>
            <w:r>
              <w:rPr>
                <w:rFonts w:hint="eastAsia" w:ascii="Times New Roman" w:hAnsi="Times New Roman" w:eastAsia="宋体"/>
                <w:color w:val="000000"/>
                <w:spacing w:val="-1"/>
                <w:kern w:val="0"/>
                <w:szCs w:val="21"/>
                <w:lang w:eastAsia="zh-CN"/>
              </w:rPr>
              <w:drawing>
                <wp:inline distT="0" distB="0" distL="114300" distR="114300">
                  <wp:extent cx="5280660" cy="3959225"/>
                  <wp:effectExtent l="0" t="0" r="15240" b="3175"/>
                  <wp:docPr id="6" name="图片 8" descr="1ebada5c0f5717ba6ba3aa19f1a73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descr="1ebada5c0f5717ba6ba3aa19f1a730f"/>
                          <pic:cNvPicPr>
                            <a:picLocks noChangeAspect="1"/>
                          </pic:cNvPicPr>
                        </pic:nvPicPr>
                        <pic:blipFill>
                          <a:blip r:embed="rId10"/>
                          <a:stretch>
                            <a:fillRect/>
                          </a:stretch>
                        </pic:blipFill>
                        <pic:spPr>
                          <a:xfrm>
                            <a:off x="0" y="0"/>
                            <a:ext cx="5280660" cy="39592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376" w:type="dxa"/>
            <w:gridSpan w:val="2"/>
            <w:shd w:val="clear" w:color="auto" w:fill="auto"/>
            <w:vAlign w:val="center"/>
          </w:tcPr>
          <w:p>
            <w:pPr>
              <w:jc w:val="center"/>
              <w:rPr>
                <w:rFonts w:hint="default" w:ascii="Times New Roman" w:hAnsi="Times New Roman" w:eastAsia="宋体"/>
                <w:color w:val="000000"/>
                <w:spacing w:val="-1"/>
                <w:kern w:val="0"/>
                <w:szCs w:val="21"/>
                <w:lang w:val="en-US" w:eastAsia="zh-CN"/>
              </w:rPr>
            </w:pPr>
            <w:r>
              <w:rPr>
                <w:rFonts w:hint="eastAsia" w:ascii="Times New Roman" w:hAnsi="Times New Roman"/>
                <w:color w:val="000000"/>
                <w:spacing w:val="-1"/>
                <w:kern w:val="0"/>
                <w:szCs w:val="21"/>
                <w:lang w:val="en-US" w:eastAsia="zh-CN"/>
              </w:rPr>
              <w:t>大沙污水处理厂</w:t>
            </w:r>
          </w:p>
        </w:tc>
      </w:tr>
    </w:tbl>
    <w:p>
      <w:pPr>
        <w:sectPr>
          <w:pgSz w:w="11906" w:h="16838"/>
          <w:pgMar w:top="1440" w:right="1800" w:bottom="1440" w:left="1800" w:header="851" w:footer="992" w:gutter="0"/>
          <w:cols w:space="720" w:num="1"/>
          <w:docGrid w:type="lines" w:linePitch="312" w:charSpace="0"/>
        </w:sectPr>
      </w:pPr>
    </w:p>
    <w:p>
      <w:pPr>
        <w:jc w:val="center"/>
      </w:pPr>
    </w:p>
    <w:p/>
    <w:p>
      <w:pPr>
        <w:pStyle w:val="14"/>
      </w:pPr>
      <w:bookmarkStart w:id="24" w:name="_Toc97912847"/>
      <w:bookmarkStart w:id="25" w:name="_Toc15004"/>
      <w:r>
        <w:rPr>
          <w:rFonts w:hint="eastAsia"/>
        </w:rPr>
        <w:t>3</w:t>
      </w:r>
      <w:r>
        <w:t>.2</w:t>
      </w:r>
      <w:r>
        <w:rPr>
          <w:rFonts w:hint="eastAsia"/>
        </w:rPr>
        <w:t>土地</w:t>
      </w:r>
      <w:r>
        <w:t>开发现状</w:t>
      </w:r>
      <w:bookmarkEnd w:id="24"/>
      <w:bookmarkEnd w:id="25"/>
    </w:p>
    <w:p>
      <w:pPr>
        <w:spacing w:line="360" w:lineRule="auto"/>
        <w:ind w:firstLine="480" w:firstLineChars="200"/>
      </w:pPr>
      <w:r>
        <w:rPr>
          <w:rFonts w:hint="eastAsia" w:ascii="Times New Roman" w:hAnsi="Times New Roman"/>
          <w:sz w:val="24"/>
        </w:rPr>
        <w:t>大沙工业区规划开发面积5000亩，分三期开发。首期开发1050亩，二期开发1950亩，三期开发2000亩</w:t>
      </w:r>
      <w:r>
        <w:rPr>
          <w:rFonts w:hint="eastAsia" w:ascii="Times New Roman" w:hAnsi="Times New Roman"/>
          <w:sz w:val="24"/>
          <w:lang w:eastAsia="zh-CN"/>
        </w:rPr>
        <w:t>；</w:t>
      </w:r>
      <w:r>
        <w:rPr>
          <w:rFonts w:hint="eastAsia" w:ascii="Times New Roman" w:hAnsi="Times New Roman"/>
          <w:sz w:val="24"/>
        </w:rPr>
        <w:t>目前已开发第一期1050亩。</w:t>
      </w:r>
      <w:r>
        <w:rPr>
          <w:rFonts w:hint="eastAsia" w:ascii="Times New Roman" w:hAnsi="Times New Roman"/>
          <w:sz w:val="24"/>
          <w:lang w:val="en-US" w:eastAsia="zh-CN"/>
        </w:rPr>
        <w:t>已建设并正常投产的企业中昌荣皮业有限公司约占地105亩，广扬皮业有限公司约占地106亩，浩源皮业有限公司约占地110亩，广一皮业有限公司约占地101亩，园区配套的大沙污水处理中心约占地101亩</w:t>
      </w:r>
      <w:r>
        <w:rPr>
          <w:rFonts w:hint="eastAsia" w:ascii="Times New Roman" w:hAnsi="Times New Roman"/>
          <w:sz w:val="24"/>
        </w:rPr>
        <w:t>。</w:t>
      </w:r>
    </w:p>
    <w:p>
      <w:pPr>
        <w:pStyle w:val="14"/>
      </w:pPr>
      <w:bookmarkStart w:id="26" w:name="_Toc32268"/>
      <w:bookmarkStart w:id="27" w:name="_Toc97912848"/>
      <w:r>
        <w:rPr>
          <w:rFonts w:hint="eastAsia"/>
        </w:rPr>
        <w:t>3.3能源</w:t>
      </w:r>
      <w:r>
        <w:t>消耗情况</w:t>
      </w:r>
      <w:bookmarkEnd w:id="26"/>
      <w:bookmarkEnd w:id="27"/>
    </w:p>
    <w:p>
      <w:pPr>
        <w:spacing w:line="360" w:lineRule="auto"/>
        <w:ind w:firstLine="480" w:firstLineChars="200"/>
        <w:rPr>
          <w:rFonts w:hint="default" w:ascii="Times New Roman" w:hAnsi="Times New Roman" w:eastAsia="宋体"/>
          <w:sz w:val="24"/>
          <w:lang w:val="en-US" w:eastAsia="zh-CN"/>
        </w:rPr>
      </w:pPr>
      <w:r>
        <w:rPr>
          <w:rFonts w:hint="eastAsia" w:ascii="Times New Roman" w:hAnsi="Times New Roman"/>
          <w:sz w:val="24"/>
        </w:rPr>
        <w:t>目前园区</w:t>
      </w:r>
      <w:r>
        <w:rPr>
          <w:rFonts w:hint="eastAsia" w:ascii="Times New Roman" w:hAnsi="Times New Roman"/>
          <w:sz w:val="24"/>
          <w:lang w:val="en-US" w:eastAsia="zh-CN"/>
        </w:rPr>
        <w:t>供电由市政电网供给</w:t>
      </w:r>
      <w:r>
        <w:rPr>
          <w:rFonts w:hint="eastAsia" w:ascii="Times New Roman" w:hAnsi="Times New Roman"/>
          <w:sz w:val="24"/>
        </w:rPr>
        <w:t>，</w:t>
      </w:r>
      <w:r>
        <w:rPr>
          <w:rFonts w:hint="eastAsia" w:ascii="Times New Roman" w:hAnsi="Times New Roman"/>
          <w:sz w:val="24"/>
          <w:lang w:val="en-US" w:eastAsia="zh-CN"/>
        </w:rPr>
        <w:t>园区</w:t>
      </w:r>
      <w:r>
        <w:rPr>
          <w:rFonts w:hint="eastAsia" w:ascii="Times New Roman" w:hAnsi="Times New Roman"/>
          <w:sz w:val="24"/>
        </w:rPr>
        <w:t>离广海变电站仅1公里，有11万伏和22万伏输变电站配套供电，电力供应充足。</w:t>
      </w:r>
      <w:r>
        <w:rPr>
          <w:rFonts w:hint="eastAsia" w:ascii="Times New Roman" w:hAnsi="Times New Roman"/>
          <w:sz w:val="24"/>
          <w:lang w:val="en-US" w:eastAsia="zh-CN"/>
        </w:rPr>
        <w:t>本</w:t>
      </w:r>
      <w:r>
        <w:rPr>
          <w:rFonts w:hint="eastAsia" w:ascii="Times New Roman" w:hAnsi="Times New Roman"/>
          <w:sz w:val="24"/>
        </w:rPr>
        <w:t>园区目前未接通天然气管网，主要能源为电能，</w:t>
      </w:r>
      <w:r>
        <w:rPr>
          <w:rFonts w:hint="eastAsia" w:ascii="Times New Roman" w:hAnsi="Times New Roman"/>
          <w:sz w:val="24"/>
          <w:lang w:val="en-US" w:eastAsia="zh-CN"/>
        </w:rPr>
        <w:t>园区实行集中供热，</w:t>
      </w:r>
      <w:r>
        <w:rPr>
          <w:rFonts w:hint="eastAsia" w:ascii="Times New Roman" w:hAnsi="Times New Roman"/>
          <w:sz w:val="24"/>
        </w:rPr>
        <w:t>燃料以生物质成型燃料为主。</w:t>
      </w:r>
      <w:r>
        <w:rPr>
          <w:rFonts w:hint="eastAsia" w:ascii="Times New Roman" w:hAnsi="Times New Roman"/>
          <w:sz w:val="24"/>
          <w:lang w:val="en-US" w:eastAsia="zh-CN"/>
        </w:rPr>
        <w:t>供热锅炉的的设计量为20t/h，每月消耗成型生物质燃料约为600吨，每月产出蒸汽约3000吨，年供给蒸汽量约为3万吨。</w:t>
      </w:r>
    </w:p>
    <w:p>
      <w:pPr>
        <w:spacing w:line="360" w:lineRule="auto"/>
        <w:ind w:firstLine="480" w:firstLineChars="200"/>
        <w:rPr>
          <w:rFonts w:ascii="Times New Roman" w:hAnsi="Times New Roman"/>
          <w:sz w:val="24"/>
        </w:rPr>
      </w:pPr>
      <w:r>
        <w:rPr>
          <w:rFonts w:hint="eastAsia" w:ascii="Times New Roman" w:hAnsi="Times New Roman"/>
          <w:sz w:val="24"/>
          <w:lang w:val="en-US" w:eastAsia="zh-CN"/>
        </w:rPr>
        <w:t>目前</w:t>
      </w:r>
      <w:r>
        <w:rPr>
          <w:rFonts w:hint="eastAsia" w:ascii="Times New Roman" w:hAnsi="Times New Roman"/>
          <w:sz w:val="24"/>
        </w:rPr>
        <w:t>园区</w:t>
      </w:r>
      <w:r>
        <w:rPr>
          <w:rFonts w:hint="eastAsia" w:ascii="Times New Roman" w:hAnsi="Times New Roman"/>
          <w:sz w:val="24"/>
          <w:lang w:val="en-US" w:eastAsia="zh-CN"/>
        </w:rPr>
        <w:t>周边水资源丰富，区域内有蓄水量高达860万立方米的康洞水库可供园区的工业和生活用水，广海镇还建有几个蓄水量共200多万立方米的小型水库，</w:t>
      </w:r>
      <w:r>
        <w:rPr>
          <w:rFonts w:hint="eastAsia" w:ascii="Times New Roman" w:hAnsi="Times New Roman"/>
          <w:sz w:val="24"/>
        </w:rPr>
        <w:t>目前园区实际用水量约为</w:t>
      </w:r>
      <w:r>
        <w:rPr>
          <w:rFonts w:hint="eastAsia" w:ascii="Times New Roman" w:hAnsi="Times New Roman"/>
          <w:sz w:val="24"/>
          <w:lang w:val="en-US" w:eastAsia="zh-CN"/>
        </w:rPr>
        <w:t>3</w:t>
      </w:r>
      <w:r>
        <w:rPr>
          <w:rFonts w:hint="eastAsia" w:ascii="Times New Roman" w:hAnsi="Times New Roman"/>
          <w:sz w:val="24"/>
        </w:rPr>
        <w:t>000m</w:t>
      </w:r>
      <w:r>
        <w:rPr>
          <w:rFonts w:hint="eastAsia" w:ascii="Times New Roman" w:hAnsi="Times New Roman"/>
          <w:sz w:val="24"/>
          <w:vertAlign w:val="superscript"/>
        </w:rPr>
        <w:t>3</w:t>
      </w:r>
      <w:r>
        <w:rPr>
          <w:rFonts w:hint="eastAsia" w:ascii="Times New Roman" w:hAnsi="Times New Roman"/>
          <w:sz w:val="24"/>
        </w:rPr>
        <w:t>/d。</w:t>
      </w:r>
    </w:p>
    <w:p>
      <w:pPr>
        <w:pStyle w:val="14"/>
      </w:pPr>
      <w:bookmarkStart w:id="28" w:name="_Toc97912849"/>
      <w:bookmarkStart w:id="29" w:name="_Toc28305"/>
      <w:r>
        <w:rPr>
          <w:rFonts w:hint="eastAsia"/>
        </w:rPr>
        <w:t>3.4环保</w:t>
      </w:r>
      <w:r>
        <w:t>设施配套建设情况</w:t>
      </w:r>
      <w:bookmarkEnd w:id="28"/>
      <w:bookmarkEnd w:id="29"/>
    </w:p>
    <w:p>
      <w:pPr>
        <w:pStyle w:val="15"/>
      </w:pPr>
      <w:bookmarkStart w:id="30" w:name="_Toc97912850"/>
      <w:r>
        <w:rPr>
          <w:rFonts w:hint="eastAsia"/>
        </w:rPr>
        <w:t>3.4.1污水</w:t>
      </w:r>
      <w:r>
        <w:t>工程现状</w:t>
      </w:r>
      <w:bookmarkEnd w:id="30"/>
    </w:p>
    <w:p>
      <w:pPr>
        <w:spacing w:line="360" w:lineRule="auto"/>
        <w:ind w:firstLine="480" w:firstLineChars="200"/>
        <w:rPr>
          <w:rFonts w:ascii="Times New Roman" w:hAnsi="Times New Roman"/>
          <w:sz w:val="24"/>
        </w:rPr>
      </w:pPr>
      <w:r>
        <w:rPr>
          <w:rFonts w:hint="eastAsia" w:ascii="Times New Roman" w:hAnsi="Times New Roman"/>
          <w:sz w:val="24"/>
        </w:rPr>
        <w:t>园区内有已建成的</w:t>
      </w:r>
      <w:r>
        <w:rPr>
          <w:rFonts w:hint="eastAsia" w:ascii="Times New Roman" w:hAnsi="Times New Roman"/>
          <w:sz w:val="24"/>
          <w:lang w:val="en-US" w:eastAsia="zh-CN"/>
        </w:rPr>
        <w:t>大沙污水</w:t>
      </w:r>
      <w:r>
        <w:rPr>
          <w:rFonts w:hint="eastAsia" w:ascii="Times New Roman" w:hAnsi="Times New Roman"/>
          <w:sz w:val="24"/>
        </w:rPr>
        <w:t>处理厂</w:t>
      </w:r>
      <w:r>
        <w:rPr>
          <w:rFonts w:hint="eastAsia" w:ascii="Times New Roman" w:hAnsi="Times New Roman"/>
          <w:sz w:val="24"/>
          <w:lang w:eastAsia="zh-CN"/>
        </w:rPr>
        <w:t>，</w:t>
      </w:r>
      <w:r>
        <w:rPr>
          <w:rFonts w:hint="eastAsia" w:ascii="Times New Roman" w:hAnsi="Times New Roman"/>
          <w:sz w:val="24"/>
          <w:lang w:val="en-US" w:eastAsia="zh-CN"/>
        </w:rPr>
        <w:t>位于台山市广海镇大沙环保工业区内的西北部，占地面积100亩，分2期建设，首期工程项目设计处理能力为4000吨/天</w:t>
      </w:r>
      <w:r>
        <w:rPr>
          <w:rFonts w:hint="eastAsia" w:ascii="Times New Roman" w:hAnsi="Times New Roman"/>
          <w:sz w:val="24"/>
        </w:rPr>
        <w:t>。</w:t>
      </w:r>
    </w:p>
    <w:p>
      <w:pPr>
        <w:spacing w:line="360" w:lineRule="auto"/>
        <w:ind w:firstLine="480" w:firstLineChars="200"/>
        <w:rPr>
          <w:rFonts w:hint="default" w:ascii="Times New Roman" w:hAnsi="Times New Roman"/>
          <w:sz w:val="24"/>
          <w:lang w:val="en-US" w:eastAsia="zh-CN"/>
        </w:rPr>
      </w:pPr>
      <w:r>
        <w:rPr>
          <w:rFonts w:hint="eastAsia" w:ascii="Times New Roman" w:hAnsi="Times New Roman"/>
          <w:sz w:val="24"/>
        </w:rPr>
        <w:t>大沙污水处理厂</w:t>
      </w:r>
      <w:r>
        <w:rPr>
          <w:rFonts w:hint="eastAsia" w:ascii="Times New Roman" w:hAnsi="Times New Roman"/>
          <w:sz w:val="24"/>
          <w:lang w:val="en-US" w:eastAsia="zh-CN"/>
        </w:rPr>
        <w:t>首期污水处理设施</w:t>
      </w:r>
      <w:r>
        <w:rPr>
          <w:rFonts w:hint="eastAsia" w:ascii="Times New Roman" w:hAnsi="Times New Roman"/>
          <w:sz w:val="24"/>
        </w:rPr>
        <w:t>于20</w:t>
      </w:r>
      <w:r>
        <w:rPr>
          <w:rFonts w:hint="eastAsia" w:ascii="Times New Roman" w:hAnsi="Times New Roman"/>
          <w:sz w:val="24"/>
          <w:lang w:val="en-US" w:eastAsia="zh-CN"/>
        </w:rPr>
        <w:t>09</w:t>
      </w:r>
      <w:r>
        <w:rPr>
          <w:rFonts w:hint="eastAsia" w:ascii="Times New Roman" w:hAnsi="Times New Roman"/>
          <w:sz w:val="24"/>
        </w:rPr>
        <w:t>年</w:t>
      </w:r>
      <w:r>
        <w:rPr>
          <w:rFonts w:hint="eastAsia" w:ascii="Times New Roman" w:hAnsi="Times New Roman"/>
          <w:sz w:val="24"/>
          <w:lang w:val="en-US" w:eastAsia="zh-CN"/>
        </w:rPr>
        <w:t>1</w:t>
      </w:r>
      <w:r>
        <w:rPr>
          <w:rFonts w:hint="eastAsia" w:ascii="Times New Roman" w:hAnsi="Times New Roman"/>
          <w:sz w:val="24"/>
        </w:rPr>
        <w:t>月建成</w:t>
      </w:r>
      <w:r>
        <w:rPr>
          <w:rFonts w:hint="eastAsia" w:ascii="Times New Roman" w:hAnsi="Times New Roman"/>
          <w:sz w:val="24"/>
          <w:lang w:val="en-US" w:eastAsia="zh-CN"/>
        </w:rPr>
        <w:t>并</w:t>
      </w:r>
      <w:r>
        <w:rPr>
          <w:rFonts w:hint="eastAsia" w:ascii="Times New Roman" w:hAnsi="Times New Roman"/>
          <w:sz w:val="24"/>
        </w:rPr>
        <w:t>通过</w:t>
      </w:r>
      <w:r>
        <w:rPr>
          <w:rFonts w:hint="eastAsia" w:ascii="Times New Roman" w:hAnsi="Times New Roman"/>
          <w:sz w:val="24"/>
          <w:lang w:val="en-US" w:eastAsia="zh-CN"/>
        </w:rPr>
        <w:t>广东省</w:t>
      </w:r>
      <w:r>
        <w:rPr>
          <w:rFonts w:hint="eastAsia" w:ascii="Times New Roman" w:hAnsi="Times New Roman"/>
          <w:sz w:val="24"/>
        </w:rPr>
        <w:t>环保</w:t>
      </w:r>
      <w:r>
        <w:rPr>
          <w:rFonts w:hint="eastAsia" w:ascii="Times New Roman" w:hAnsi="Times New Roman"/>
          <w:sz w:val="24"/>
          <w:lang w:val="en-US" w:eastAsia="zh-CN"/>
        </w:rPr>
        <w:t>厅验收正式投产，2011年7月对已老化的污水处理设备进行更换，提高了污水处理能力。2017年再次针对废水工艺进行升级改造，由于制革废水中含有大量的有害无机物离子，还含有大量难降解的有机物质，如表面活性剂、染料及大量的蛋白质，这些物质在单纯的生物处理过程中不能完全去除，可生化性差，属难处理工业废水。针对以上问题，本次升级改造工程选择“OSMMBR”的组合工艺。“OSMMBR”高含盐量废水生化系统由“OSMMBR”膜组件和膜池组成，可以将活性污泥全部保留在膜池中，悬浮颗粒、细菌、有机物等各种污染物停留时间长，从而被充分去除，保证了出水水质优良，提高出水水质达标的稳定性。</w:t>
      </w:r>
    </w:p>
    <w:p>
      <w:pPr>
        <w:spacing w:line="360" w:lineRule="auto"/>
        <w:ind w:firstLine="480" w:firstLineChars="200"/>
        <w:rPr>
          <w:rFonts w:hint="default" w:ascii="Times New Roman" w:hAnsi="Times New Roman"/>
          <w:sz w:val="24"/>
          <w:lang w:val="en-US"/>
        </w:rPr>
      </w:pPr>
      <w:r>
        <w:rPr>
          <w:rFonts w:hint="eastAsia" w:ascii="Times New Roman" w:hAnsi="Times New Roman"/>
          <w:sz w:val="24"/>
          <w:lang w:val="en-US" w:eastAsia="zh-CN"/>
        </w:rPr>
        <w:t>园区企业产生</w:t>
      </w:r>
      <w:r>
        <w:rPr>
          <w:rFonts w:hint="eastAsia" w:ascii="Times New Roman" w:hAnsi="Times New Roman"/>
          <w:sz w:val="24"/>
        </w:rPr>
        <w:t>的废水经预处理达到接管标准后排入大沙污水处理厂处理达标后排放，尾水排放执行广东省地方标准《水污染物排放限值》（DB44/26-2001）第二时段一级标准中的</w:t>
      </w:r>
      <w:r>
        <w:rPr>
          <w:rFonts w:hint="eastAsia" w:ascii="Times New Roman" w:hAnsi="Times New Roman"/>
          <w:sz w:val="24"/>
          <w:lang w:val="en-US" w:eastAsia="zh-CN"/>
        </w:rPr>
        <w:t>限值要求，尾水最终排入广海湾。</w:t>
      </w:r>
    </w:p>
    <w:p>
      <w:pPr>
        <w:pStyle w:val="15"/>
      </w:pPr>
      <w:bookmarkStart w:id="31" w:name="_Toc97912851"/>
      <w:r>
        <w:rPr>
          <w:rFonts w:hint="eastAsia"/>
        </w:rPr>
        <w:t>3.4.2污水</w:t>
      </w:r>
      <w:r>
        <w:t>管网建设现状</w:t>
      </w:r>
      <w:bookmarkEnd w:id="31"/>
    </w:p>
    <w:p>
      <w:pPr>
        <w:spacing w:line="360" w:lineRule="auto"/>
        <w:ind w:firstLine="480" w:firstLineChars="200"/>
        <w:rPr>
          <w:rFonts w:ascii="Times New Roman" w:hAnsi="Times New Roman"/>
          <w:sz w:val="24"/>
        </w:rPr>
      </w:pPr>
      <w:r>
        <w:rPr>
          <w:rFonts w:hint="eastAsia" w:ascii="Times New Roman" w:hAnsi="Times New Roman"/>
          <w:sz w:val="24"/>
        </w:rPr>
        <w:t>现状园区内的污水管道主要沿</w:t>
      </w:r>
      <w:r>
        <w:rPr>
          <w:rFonts w:hint="eastAsia" w:ascii="Times New Roman" w:hAnsi="Times New Roman"/>
          <w:sz w:val="24"/>
          <w:lang w:val="en-US" w:eastAsia="zh-CN"/>
        </w:rPr>
        <w:t>工业路</w:t>
      </w:r>
      <w:r>
        <w:rPr>
          <w:rFonts w:hint="eastAsia" w:ascii="Times New Roman" w:hAnsi="Times New Roman"/>
          <w:sz w:val="24"/>
        </w:rPr>
        <w:t>已建成道路建设，覆盖所有已入园企业，然后排</w:t>
      </w:r>
      <w:r>
        <w:rPr>
          <w:rFonts w:hint="eastAsia" w:ascii="Times New Roman" w:hAnsi="Times New Roman"/>
          <w:sz w:val="24"/>
          <w:lang w:val="en-US" w:eastAsia="zh-CN"/>
        </w:rPr>
        <w:t>入大沙污水处理厂</w:t>
      </w:r>
      <w:r>
        <w:rPr>
          <w:rFonts w:hint="eastAsia" w:ascii="Times New Roman" w:hAnsi="Times New Roman"/>
          <w:sz w:val="24"/>
        </w:rPr>
        <w:t>处理。</w:t>
      </w:r>
    </w:p>
    <w:p>
      <w:pPr>
        <w:pStyle w:val="14"/>
      </w:pPr>
      <w:bookmarkStart w:id="32" w:name="_Toc18811"/>
      <w:bookmarkStart w:id="33" w:name="_Toc97912852"/>
      <w:r>
        <w:rPr>
          <w:rFonts w:hint="eastAsia"/>
        </w:rPr>
        <w:t>3</w:t>
      </w:r>
      <w:r>
        <w:t>.5园区现有企业排污情况</w:t>
      </w:r>
      <w:bookmarkEnd w:id="32"/>
      <w:bookmarkEnd w:id="33"/>
    </w:p>
    <w:p>
      <w:pPr>
        <w:pStyle w:val="15"/>
        <w:rPr>
          <w:rFonts w:hint="default"/>
          <w:lang w:val="en-US" w:eastAsia="zh-CN"/>
        </w:rPr>
      </w:pPr>
      <w:r>
        <w:rPr>
          <w:rFonts w:hint="eastAsia"/>
          <w:lang w:val="en-US" w:eastAsia="zh-CN"/>
        </w:rPr>
        <w:t>3.5.1企业的环保手续情况</w:t>
      </w:r>
    </w:p>
    <w:p>
      <w:pPr>
        <w:spacing w:line="360" w:lineRule="auto"/>
        <w:ind w:firstLine="480" w:firstLineChars="200"/>
        <w:rPr>
          <w:rFonts w:hint="eastAsia" w:ascii="Times New Roman" w:hAnsi="Times New Roman"/>
          <w:sz w:val="24"/>
          <w:lang w:val="en-US" w:eastAsia="zh-CN"/>
        </w:rPr>
      </w:pPr>
      <w:r>
        <w:rPr>
          <w:rFonts w:hint="eastAsia" w:ascii="Times New Roman" w:hAnsi="Times New Roman"/>
          <w:sz w:val="24"/>
          <w:lang w:val="en-US" w:eastAsia="zh-CN"/>
        </w:rPr>
        <w:t>园区内4家正常投产企业中，已取得环评批复，4家均为排污许可简化管理，均已完成环保验收。并且全部已进行应急预案备案，3家为较大风险等级，1家为一般风险等级。</w:t>
      </w:r>
    </w:p>
    <w:p>
      <w:pPr>
        <w:pStyle w:val="70"/>
        <w:ind w:firstLine="0" w:firstLineChars="0"/>
        <w:rPr>
          <w:rFonts w:hint="default" w:eastAsia="宋体"/>
          <w:b/>
          <w:sz w:val="21"/>
          <w:szCs w:val="21"/>
          <w:lang w:val="en-US" w:eastAsia="zh-CN"/>
        </w:rPr>
      </w:pPr>
      <w:r>
        <w:rPr>
          <w:rFonts w:eastAsia="宋体"/>
          <w:b/>
          <w:sz w:val="21"/>
          <w:szCs w:val="21"/>
        </w:rPr>
        <w:t>表</w:t>
      </w:r>
      <w:r>
        <w:rPr>
          <w:rFonts w:hint="eastAsia" w:eastAsia="宋体"/>
          <w:b/>
          <w:sz w:val="21"/>
          <w:szCs w:val="21"/>
        </w:rPr>
        <w:t>3</w:t>
      </w:r>
      <w:r>
        <w:rPr>
          <w:rFonts w:eastAsia="宋体"/>
          <w:b/>
          <w:sz w:val="21"/>
          <w:szCs w:val="21"/>
        </w:rPr>
        <w:t>.5-1企业</w:t>
      </w:r>
      <w:r>
        <w:rPr>
          <w:rFonts w:hint="eastAsia" w:eastAsia="宋体"/>
          <w:b/>
          <w:sz w:val="21"/>
          <w:szCs w:val="21"/>
          <w:lang w:val="en-US" w:eastAsia="zh-CN"/>
        </w:rPr>
        <w:t>的环保手续</w:t>
      </w:r>
      <w:r>
        <w:rPr>
          <w:rFonts w:eastAsia="宋体"/>
          <w:b/>
          <w:sz w:val="21"/>
          <w:szCs w:val="21"/>
        </w:rPr>
        <w:t>情况一览表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
        <w:gridCol w:w="1483"/>
        <w:gridCol w:w="1984"/>
        <w:gridCol w:w="1484"/>
        <w:gridCol w:w="1642"/>
        <w:gridCol w:w="1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0" w:type="dxa"/>
            <w:shd w:val="clear" w:color="auto" w:fill="auto"/>
            <w:vAlign w:val="center"/>
          </w:tcPr>
          <w:p>
            <w:pPr>
              <w:jc w:val="center"/>
              <w:rPr>
                <w:rFonts w:ascii="Times New Roman" w:hAnsi="Times New Roman"/>
                <w:b/>
                <w:szCs w:val="21"/>
              </w:rPr>
            </w:pPr>
            <w:r>
              <w:rPr>
                <w:rFonts w:ascii="Times New Roman" w:hAnsi="Times New Roman"/>
                <w:b/>
                <w:szCs w:val="21"/>
              </w:rPr>
              <w:t>序号</w:t>
            </w:r>
          </w:p>
        </w:tc>
        <w:tc>
          <w:tcPr>
            <w:tcW w:w="1483" w:type="dxa"/>
            <w:shd w:val="clear" w:color="auto" w:fill="auto"/>
            <w:vAlign w:val="center"/>
          </w:tcPr>
          <w:p>
            <w:pPr>
              <w:jc w:val="center"/>
              <w:rPr>
                <w:rFonts w:ascii="Times New Roman" w:hAnsi="Times New Roman"/>
                <w:b/>
                <w:szCs w:val="21"/>
              </w:rPr>
            </w:pPr>
            <w:r>
              <w:rPr>
                <w:rFonts w:ascii="Times New Roman" w:hAnsi="Times New Roman"/>
                <w:b/>
                <w:szCs w:val="21"/>
              </w:rPr>
              <w:t>企业名称</w:t>
            </w:r>
          </w:p>
        </w:tc>
        <w:tc>
          <w:tcPr>
            <w:tcW w:w="1984" w:type="dxa"/>
            <w:shd w:val="clear" w:color="auto" w:fill="auto"/>
            <w:vAlign w:val="center"/>
          </w:tcPr>
          <w:p>
            <w:pPr>
              <w:jc w:val="center"/>
              <w:rPr>
                <w:rFonts w:hint="default" w:ascii="Times New Roman" w:hAnsi="Times New Roman" w:eastAsia="宋体"/>
                <w:b/>
                <w:szCs w:val="21"/>
                <w:lang w:val="en-US" w:eastAsia="zh-CN"/>
              </w:rPr>
            </w:pPr>
            <w:r>
              <w:rPr>
                <w:rFonts w:hint="eastAsia" w:ascii="Times New Roman" w:hAnsi="Times New Roman"/>
                <w:b/>
                <w:szCs w:val="21"/>
                <w:lang w:val="en-US" w:eastAsia="zh-CN"/>
              </w:rPr>
              <w:t>环评批复号</w:t>
            </w:r>
          </w:p>
        </w:tc>
        <w:tc>
          <w:tcPr>
            <w:tcW w:w="1484" w:type="dxa"/>
            <w:shd w:val="clear" w:color="auto" w:fill="auto"/>
            <w:vAlign w:val="center"/>
          </w:tcPr>
          <w:p>
            <w:pPr>
              <w:jc w:val="center"/>
              <w:rPr>
                <w:rFonts w:hint="default" w:ascii="Times New Roman" w:hAnsi="Times New Roman" w:eastAsia="宋体"/>
                <w:b/>
                <w:szCs w:val="21"/>
                <w:lang w:val="en-US" w:eastAsia="zh-CN"/>
              </w:rPr>
            </w:pPr>
            <w:r>
              <w:rPr>
                <w:rFonts w:hint="eastAsia" w:ascii="Times New Roman" w:hAnsi="Times New Roman"/>
                <w:b/>
                <w:szCs w:val="21"/>
                <w:lang w:val="en-US" w:eastAsia="zh-CN"/>
              </w:rPr>
              <w:t>验收批文号</w:t>
            </w:r>
          </w:p>
        </w:tc>
        <w:tc>
          <w:tcPr>
            <w:tcW w:w="1642" w:type="dxa"/>
            <w:shd w:val="clear" w:color="auto" w:fill="auto"/>
            <w:vAlign w:val="center"/>
          </w:tcPr>
          <w:p>
            <w:pPr>
              <w:jc w:val="center"/>
              <w:rPr>
                <w:rFonts w:hint="default" w:ascii="Times New Roman" w:hAnsi="Times New Roman" w:eastAsia="宋体"/>
                <w:b/>
                <w:szCs w:val="21"/>
                <w:lang w:val="en-US" w:eastAsia="zh-CN"/>
              </w:rPr>
            </w:pPr>
            <w:r>
              <w:rPr>
                <w:rFonts w:hint="eastAsia" w:ascii="Times New Roman" w:hAnsi="Times New Roman"/>
                <w:b/>
                <w:szCs w:val="21"/>
                <w:lang w:val="en-US" w:eastAsia="zh-CN"/>
              </w:rPr>
              <w:t>排污许可证编号</w:t>
            </w:r>
          </w:p>
        </w:tc>
        <w:tc>
          <w:tcPr>
            <w:tcW w:w="1459" w:type="dxa"/>
            <w:shd w:val="clear" w:color="auto" w:fill="auto"/>
            <w:vAlign w:val="center"/>
          </w:tcPr>
          <w:p>
            <w:pPr>
              <w:jc w:val="center"/>
              <w:rPr>
                <w:rFonts w:hint="default" w:ascii="Times New Roman" w:hAnsi="Times New Roman" w:eastAsia="宋体"/>
                <w:b/>
                <w:szCs w:val="21"/>
                <w:lang w:val="en-US" w:eastAsia="zh-CN"/>
              </w:rPr>
            </w:pPr>
            <w:r>
              <w:rPr>
                <w:rFonts w:hint="eastAsia" w:ascii="Times New Roman" w:hAnsi="Times New Roman"/>
                <w:b/>
                <w:szCs w:val="21"/>
                <w:lang w:val="en-US" w:eastAsia="zh-CN"/>
              </w:rPr>
              <w:t>应急预案备案号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0" w:type="dxa"/>
            <w:shd w:val="clear" w:color="auto" w:fill="auto"/>
            <w:vAlign w:val="center"/>
          </w:tcPr>
          <w:p>
            <w:pPr>
              <w:jc w:val="center"/>
              <w:rPr>
                <w:rFonts w:ascii="Times New Roman" w:hAnsi="Times New Roman"/>
                <w:szCs w:val="21"/>
              </w:rPr>
            </w:pPr>
            <w:r>
              <w:rPr>
                <w:rFonts w:ascii="Times New Roman" w:hAnsi="Times New Roman"/>
                <w:szCs w:val="21"/>
              </w:rPr>
              <w:t>1</w:t>
            </w:r>
          </w:p>
        </w:tc>
        <w:tc>
          <w:tcPr>
            <w:tcW w:w="1483" w:type="dxa"/>
            <w:shd w:val="clear" w:color="auto" w:fill="auto"/>
            <w:vAlign w:val="center"/>
          </w:tcPr>
          <w:p>
            <w:pPr>
              <w:jc w:val="center"/>
              <w:rPr>
                <w:rFonts w:ascii="Times New Roman" w:hAnsi="Times New Roman"/>
                <w:szCs w:val="21"/>
              </w:rPr>
            </w:pPr>
            <w:r>
              <w:rPr>
                <w:rFonts w:hint="eastAsia" w:ascii="Times New Roman" w:hAnsi="Times New Roman"/>
                <w:spacing w:val="-1"/>
                <w:szCs w:val="21"/>
              </w:rPr>
              <w:t>台山市昌荣皮业有限公司</w:t>
            </w:r>
          </w:p>
        </w:tc>
        <w:tc>
          <w:tcPr>
            <w:tcW w:w="1984"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粤环函[2006]841号/台环技[2014]6号/江台环审[2022]29号</w:t>
            </w:r>
          </w:p>
        </w:tc>
        <w:tc>
          <w:tcPr>
            <w:tcW w:w="1484"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粤环审[2011]19号</w:t>
            </w:r>
          </w:p>
        </w:tc>
        <w:tc>
          <w:tcPr>
            <w:tcW w:w="1642"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91440700755606182T001P</w:t>
            </w:r>
          </w:p>
        </w:tc>
        <w:tc>
          <w:tcPr>
            <w:tcW w:w="1459" w:type="dxa"/>
            <w:shd w:val="clear" w:color="auto" w:fill="auto"/>
            <w:vAlign w:val="center"/>
          </w:tcPr>
          <w:p>
            <w:pPr>
              <w:jc w:val="center"/>
              <w:rPr>
                <w:rFonts w:ascii="Times New Roman" w:hAnsi="Times New Roman"/>
                <w:szCs w:val="21"/>
              </w:rPr>
            </w:pPr>
            <w:r>
              <w:rPr>
                <w:rFonts w:hint="eastAsia" w:ascii="Times New Roman" w:hAnsi="Times New Roman"/>
                <w:szCs w:val="21"/>
              </w:rPr>
              <w:t>440781-2022-0013-M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0" w:type="dxa"/>
            <w:shd w:val="clear" w:color="auto" w:fill="auto"/>
            <w:vAlign w:val="center"/>
          </w:tcPr>
          <w:p>
            <w:pPr>
              <w:jc w:val="center"/>
              <w:rPr>
                <w:rFonts w:ascii="Times New Roman" w:hAnsi="Times New Roman"/>
                <w:szCs w:val="21"/>
              </w:rPr>
            </w:pPr>
            <w:r>
              <w:rPr>
                <w:rFonts w:ascii="Times New Roman" w:hAnsi="Times New Roman"/>
                <w:szCs w:val="21"/>
              </w:rPr>
              <w:t>2</w:t>
            </w:r>
          </w:p>
        </w:tc>
        <w:tc>
          <w:tcPr>
            <w:tcW w:w="1483" w:type="dxa"/>
            <w:shd w:val="clear" w:color="auto" w:fill="auto"/>
            <w:vAlign w:val="center"/>
          </w:tcPr>
          <w:p>
            <w:pPr>
              <w:jc w:val="center"/>
              <w:rPr>
                <w:rFonts w:ascii="Times New Roman" w:hAnsi="Times New Roman"/>
                <w:szCs w:val="21"/>
              </w:rPr>
            </w:pPr>
            <w:r>
              <w:rPr>
                <w:rFonts w:hint="eastAsia" w:ascii="Times New Roman" w:hAnsi="Times New Roman"/>
                <w:spacing w:val="-2"/>
                <w:szCs w:val="21"/>
              </w:rPr>
              <w:t>台山广扬皮业有限公司</w:t>
            </w:r>
          </w:p>
        </w:tc>
        <w:tc>
          <w:tcPr>
            <w:tcW w:w="1984"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粤环函[2006]1596号/粤环审[2010]309号</w:t>
            </w:r>
          </w:p>
        </w:tc>
        <w:tc>
          <w:tcPr>
            <w:tcW w:w="1484"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粤环审[2009]66号</w:t>
            </w:r>
          </w:p>
        </w:tc>
        <w:tc>
          <w:tcPr>
            <w:tcW w:w="1642"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91440700756499614J001P</w:t>
            </w:r>
          </w:p>
        </w:tc>
        <w:tc>
          <w:tcPr>
            <w:tcW w:w="1459" w:type="dxa"/>
            <w:shd w:val="clear" w:color="auto" w:fill="auto"/>
            <w:vAlign w:val="center"/>
          </w:tcPr>
          <w:p>
            <w:pPr>
              <w:jc w:val="center"/>
              <w:rPr>
                <w:rFonts w:ascii="Times New Roman" w:hAnsi="Times New Roman"/>
                <w:szCs w:val="21"/>
              </w:rPr>
            </w:pPr>
            <w:r>
              <w:rPr>
                <w:rFonts w:hint="eastAsia" w:ascii="Times New Roman" w:hAnsi="Times New Roman"/>
                <w:szCs w:val="21"/>
              </w:rPr>
              <w:t>440781-2022-0015-L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0" w:type="dxa"/>
            <w:shd w:val="clear" w:color="auto" w:fill="auto"/>
            <w:vAlign w:val="center"/>
          </w:tcPr>
          <w:p>
            <w:pPr>
              <w:jc w:val="center"/>
              <w:rPr>
                <w:rFonts w:ascii="Times New Roman" w:hAnsi="Times New Roman"/>
                <w:szCs w:val="21"/>
              </w:rPr>
            </w:pPr>
            <w:r>
              <w:rPr>
                <w:rFonts w:ascii="Times New Roman" w:hAnsi="Times New Roman"/>
                <w:szCs w:val="21"/>
              </w:rPr>
              <w:t>3</w:t>
            </w:r>
          </w:p>
        </w:tc>
        <w:tc>
          <w:tcPr>
            <w:tcW w:w="1483" w:type="dxa"/>
            <w:shd w:val="clear" w:color="auto" w:fill="auto"/>
            <w:vAlign w:val="center"/>
          </w:tcPr>
          <w:p>
            <w:pPr>
              <w:jc w:val="center"/>
              <w:rPr>
                <w:rFonts w:ascii="Times New Roman" w:hAnsi="Times New Roman"/>
                <w:szCs w:val="21"/>
              </w:rPr>
            </w:pPr>
            <w:r>
              <w:rPr>
                <w:rFonts w:hint="eastAsia" w:ascii="Times New Roman" w:hAnsi="Times New Roman"/>
                <w:spacing w:val="-2"/>
                <w:szCs w:val="21"/>
              </w:rPr>
              <w:t>台山市广一皮业有限公司</w:t>
            </w:r>
          </w:p>
        </w:tc>
        <w:tc>
          <w:tcPr>
            <w:tcW w:w="1984"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粤环审[2011]309号</w:t>
            </w:r>
          </w:p>
        </w:tc>
        <w:tc>
          <w:tcPr>
            <w:tcW w:w="1484"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粤环审[2009]66号</w:t>
            </w:r>
          </w:p>
        </w:tc>
        <w:tc>
          <w:tcPr>
            <w:tcW w:w="1642"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91440781763810706J001P</w:t>
            </w:r>
          </w:p>
        </w:tc>
        <w:tc>
          <w:tcPr>
            <w:tcW w:w="1459" w:type="dxa"/>
            <w:shd w:val="clear" w:color="auto" w:fill="auto"/>
            <w:vAlign w:val="center"/>
          </w:tcPr>
          <w:p>
            <w:pPr>
              <w:jc w:val="center"/>
              <w:rPr>
                <w:rFonts w:ascii="Times New Roman" w:hAnsi="Times New Roman"/>
                <w:szCs w:val="21"/>
              </w:rPr>
            </w:pPr>
            <w:r>
              <w:rPr>
                <w:rFonts w:hint="eastAsia" w:ascii="Times New Roman" w:hAnsi="Times New Roman"/>
                <w:szCs w:val="21"/>
              </w:rPr>
              <w:t>440781-2022-0015-M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0" w:type="dxa"/>
            <w:shd w:val="clear" w:color="auto" w:fill="auto"/>
            <w:vAlign w:val="center"/>
          </w:tcPr>
          <w:p>
            <w:pPr>
              <w:jc w:val="center"/>
              <w:rPr>
                <w:rFonts w:ascii="Times New Roman" w:hAnsi="Times New Roman"/>
                <w:szCs w:val="21"/>
              </w:rPr>
            </w:pPr>
            <w:r>
              <w:rPr>
                <w:rFonts w:ascii="Times New Roman" w:hAnsi="Times New Roman"/>
                <w:szCs w:val="21"/>
              </w:rPr>
              <w:t>4</w:t>
            </w:r>
          </w:p>
        </w:tc>
        <w:tc>
          <w:tcPr>
            <w:tcW w:w="1483" w:type="dxa"/>
            <w:shd w:val="clear" w:color="auto" w:fill="auto"/>
            <w:vAlign w:val="center"/>
          </w:tcPr>
          <w:p>
            <w:pPr>
              <w:jc w:val="center"/>
              <w:rPr>
                <w:rFonts w:ascii="Times New Roman" w:hAnsi="Times New Roman"/>
                <w:szCs w:val="21"/>
              </w:rPr>
            </w:pPr>
            <w:r>
              <w:rPr>
                <w:rFonts w:hint="eastAsia" w:ascii="Times New Roman" w:hAnsi="Times New Roman"/>
                <w:spacing w:val="-1"/>
                <w:szCs w:val="21"/>
              </w:rPr>
              <w:t>浩源皮业（台山）有限公司</w:t>
            </w:r>
          </w:p>
        </w:tc>
        <w:tc>
          <w:tcPr>
            <w:tcW w:w="1984"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粤环审[2009]33号/台环审[2017]18号</w:t>
            </w:r>
          </w:p>
        </w:tc>
        <w:tc>
          <w:tcPr>
            <w:tcW w:w="1484"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粤环审[2013]321号/自主验收</w:t>
            </w:r>
          </w:p>
        </w:tc>
        <w:tc>
          <w:tcPr>
            <w:tcW w:w="1642"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91440700797703351H001P</w:t>
            </w:r>
          </w:p>
        </w:tc>
        <w:tc>
          <w:tcPr>
            <w:tcW w:w="1459" w:type="dxa"/>
            <w:shd w:val="clear" w:color="auto" w:fill="auto"/>
            <w:vAlign w:val="center"/>
          </w:tcPr>
          <w:p>
            <w:pPr>
              <w:jc w:val="center"/>
              <w:rPr>
                <w:rFonts w:ascii="Times New Roman" w:hAnsi="Times New Roman"/>
                <w:szCs w:val="21"/>
              </w:rPr>
            </w:pPr>
            <w:r>
              <w:rPr>
                <w:rFonts w:hint="eastAsia" w:ascii="Times New Roman" w:hAnsi="Times New Roman"/>
                <w:szCs w:val="21"/>
              </w:rPr>
              <w:t>440781-2022-0016-M</w:t>
            </w:r>
          </w:p>
        </w:tc>
      </w:tr>
    </w:tbl>
    <w:p>
      <w:pPr>
        <w:rPr>
          <w:rFonts w:hint="default"/>
          <w:lang w:val="en-US" w:eastAsia="zh-CN"/>
        </w:rPr>
      </w:pPr>
    </w:p>
    <w:p>
      <w:pPr>
        <w:pStyle w:val="15"/>
      </w:pPr>
      <w:bookmarkStart w:id="34" w:name="_Toc97912853"/>
      <w:r>
        <w:rPr>
          <w:rFonts w:hint="eastAsia"/>
        </w:rPr>
        <w:t>3</w:t>
      </w:r>
      <w:r>
        <w:t>.5.</w:t>
      </w:r>
      <w:r>
        <w:rPr>
          <w:rFonts w:hint="eastAsia"/>
          <w:lang w:val="en-US" w:eastAsia="zh-CN"/>
        </w:rPr>
        <w:t>2</w:t>
      </w:r>
      <w:r>
        <w:t>废水排放</w:t>
      </w:r>
      <w:bookmarkEnd w:id="34"/>
      <w:r>
        <w:t>情况</w:t>
      </w:r>
    </w:p>
    <w:p>
      <w:pPr>
        <w:spacing w:line="360" w:lineRule="auto"/>
        <w:ind w:firstLine="480" w:firstLineChars="200"/>
        <w:rPr>
          <w:rFonts w:ascii="Times New Roman" w:hAnsi="Times New Roman"/>
          <w:sz w:val="24"/>
        </w:rPr>
      </w:pPr>
      <w:r>
        <w:rPr>
          <w:rFonts w:hint="eastAsia" w:ascii="Times New Roman" w:hAnsi="Times New Roman"/>
          <w:sz w:val="24"/>
        </w:rPr>
        <w:t>园区废水主要包括园区内已建工业企业的生产废水及工人生活污水。根据园区入驻企业情况，正常生产的企业有</w:t>
      </w:r>
      <w:r>
        <w:rPr>
          <w:rFonts w:hint="eastAsia" w:ascii="Times New Roman" w:hAnsi="Times New Roman"/>
          <w:sz w:val="24"/>
          <w:lang w:val="en-US" w:eastAsia="zh-CN"/>
        </w:rPr>
        <w:t>4</w:t>
      </w:r>
      <w:r>
        <w:rPr>
          <w:rFonts w:hint="eastAsia" w:ascii="Times New Roman" w:hAnsi="Times New Roman"/>
          <w:sz w:val="24"/>
        </w:rPr>
        <w:t>家（详见下表）。</w:t>
      </w:r>
    </w:p>
    <w:p>
      <w:pPr>
        <w:pStyle w:val="70"/>
        <w:keepNext w:val="0"/>
        <w:keepLines w:val="0"/>
        <w:pageBreakBefore w:val="0"/>
        <w:widowControl w:val="0"/>
        <w:kinsoku/>
        <w:wordWrap/>
        <w:overflowPunct/>
        <w:topLinePunct w:val="0"/>
        <w:autoSpaceDE/>
        <w:autoSpaceDN/>
        <w:bidi w:val="0"/>
        <w:adjustRightInd/>
        <w:snapToGrid/>
        <w:ind w:firstLine="0" w:firstLineChars="0"/>
        <w:textAlignment w:val="auto"/>
        <w:rPr>
          <w:rFonts w:eastAsia="宋体"/>
          <w:b/>
          <w:sz w:val="21"/>
          <w:szCs w:val="21"/>
        </w:rPr>
      </w:pPr>
      <w:r>
        <w:rPr>
          <w:rFonts w:eastAsia="宋体"/>
          <w:b/>
          <w:sz w:val="21"/>
          <w:szCs w:val="21"/>
        </w:rPr>
        <w:t>表</w:t>
      </w:r>
      <w:r>
        <w:rPr>
          <w:rFonts w:hint="eastAsia" w:eastAsia="宋体"/>
          <w:b/>
          <w:sz w:val="21"/>
          <w:szCs w:val="21"/>
        </w:rPr>
        <w:t>3</w:t>
      </w:r>
      <w:r>
        <w:rPr>
          <w:rFonts w:eastAsia="宋体"/>
          <w:b/>
          <w:sz w:val="21"/>
          <w:szCs w:val="21"/>
        </w:rPr>
        <w:t>.5-</w:t>
      </w:r>
      <w:r>
        <w:rPr>
          <w:rFonts w:hint="eastAsia" w:eastAsia="宋体"/>
          <w:b/>
          <w:sz w:val="21"/>
          <w:szCs w:val="21"/>
          <w:lang w:val="en-US" w:eastAsia="zh-CN"/>
        </w:rPr>
        <w:t>2</w:t>
      </w:r>
      <w:r>
        <w:rPr>
          <w:rFonts w:eastAsia="宋体"/>
          <w:b/>
          <w:sz w:val="21"/>
          <w:szCs w:val="21"/>
        </w:rPr>
        <w:t>企业废水排放情况一览表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2"/>
        <w:gridCol w:w="1855"/>
        <w:gridCol w:w="1237"/>
        <w:gridCol w:w="1237"/>
        <w:gridCol w:w="1082"/>
        <w:gridCol w:w="1237"/>
        <w:gridCol w:w="1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534" w:type="dxa"/>
            <w:shd w:val="clear" w:color="auto" w:fill="auto"/>
            <w:vAlign w:val="center"/>
          </w:tcPr>
          <w:p>
            <w:pPr>
              <w:jc w:val="center"/>
              <w:rPr>
                <w:rFonts w:ascii="Times New Roman" w:hAnsi="Times New Roman"/>
                <w:b/>
                <w:szCs w:val="21"/>
              </w:rPr>
            </w:pPr>
            <w:r>
              <w:rPr>
                <w:rFonts w:ascii="Times New Roman" w:hAnsi="Times New Roman"/>
                <w:b/>
                <w:szCs w:val="21"/>
              </w:rPr>
              <w:t>序号</w:t>
            </w:r>
          </w:p>
        </w:tc>
        <w:tc>
          <w:tcPr>
            <w:tcW w:w="1701" w:type="dxa"/>
            <w:shd w:val="clear" w:color="auto" w:fill="auto"/>
            <w:vAlign w:val="center"/>
          </w:tcPr>
          <w:p>
            <w:pPr>
              <w:jc w:val="center"/>
              <w:rPr>
                <w:rFonts w:ascii="Times New Roman" w:hAnsi="Times New Roman"/>
                <w:b/>
                <w:szCs w:val="21"/>
              </w:rPr>
            </w:pPr>
            <w:r>
              <w:rPr>
                <w:rFonts w:ascii="Times New Roman" w:hAnsi="Times New Roman"/>
                <w:b/>
                <w:szCs w:val="21"/>
              </w:rPr>
              <w:t>企业名称</w:t>
            </w:r>
          </w:p>
        </w:tc>
        <w:tc>
          <w:tcPr>
            <w:tcW w:w="1134" w:type="dxa"/>
            <w:shd w:val="clear" w:color="auto" w:fill="auto"/>
            <w:vAlign w:val="center"/>
          </w:tcPr>
          <w:p>
            <w:pPr>
              <w:jc w:val="center"/>
              <w:rPr>
                <w:rFonts w:ascii="Times New Roman" w:hAnsi="Times New Roman"/>
                <w:b/>
                <w:szCs w:val="21"/>
              </w:rPr>
            </w:pPr>
            <w:r>
              <w:rPr>
                <w:rFonts w:ascii="Times New Roman" w:hAnsi="Times New Roman"/>
                <w:b/>
                <w:szCs w:val="21"/>
              </w:rPr>
              <w:t>废水量（m</w:t>
            </w:r>
            <w:r>
              <w:rPr>
                <w:rFonts w:ascii="Times New Roman" w:hAnsi="Times New Roman"/>
                <w:b/>
                <w:szCs w:val="21"/>
                <w:vertAlign w:val="superscript"/>
              </w:rPr>
              <w:t>3</w:t>
            </w:r>
            <w:r>
              <w:rPr>
                <w:rFonts w:ascii="Times New Roman" w:hAnsi="Times New Roman"/>
                <w:b/>
                <w:szCs w:val="21"/>
              </w:rPr>
              <w:t>/a）</w:t>
            </w:r>
          </w:p>
        </w:tc>
        <w:tc>
          <w:tcPr>
            <w:tcW w:w="1134" w:type="dxa"/>
            <w:shd w:val="clear" w:color="auto" w:fill="auto"/>
            <w:vAlign w:val="center"/>
          </w:tcPr>
          <w:p>
            <w:pPr>
              <w:jc w:val="center"/>
              <w:rPr>
                <w:rFonts w:ascii="Times New Roman" w:hAnsi="Times New Roman"/>
                <w:b/>
                <w:szCs w:val="21"/>
              </w:rPr>
            </w:pPr>
            <w:r>
              <w:rPr>
                <w:rFonts w:ascii="Times New Roman" w:hAnsi="Times New Roman"/>
                <w:b/>
                <w:szCs w:val="21"/>
              </w:rPr>
              <w:t>COD</w:t>
            </w:r>
          </w:p>
          <w:p>
            <w:pPr>
              <w:jc w:val="center"/>
              <w:rPr>
                <w:rFonts w:ascii="Times New Roman" w:hAnsi="Times New Roman"/>
                <w:b/>
                <w:szCs w:val="21"/>
              </w:rPr>
            </w:pPr>
            <w:r>
              <w:rPr>
                <w:rFonts w:ascii="Times New Roman" w:hAnsi="Times New Roman"/>
                <w:b/>
                <w:szCs w:val="21"/>
              </w:rPr>
              <w:t>(t/a)</w:t>
            </w:r>
          </w:p>
        </w:tc>
        <w:tc>
          <w:tcPr>
            <w:tcW w:w="992" w:type="dxa"/>
            <w:shd w:val="clear" w:color="auto" w:fill="auto"/>
            <w:vAlign w:val="center"/>
          </w:tcPr>
          <w:p>
            <w:pPr>
              <w:jc w:val="center"/>
              <w:rPr>
                <w:rFonts w:ascii="Times New Roman" w:hAnsi="Times New Roman"/>
                <w:b/>
                <w:szCs w:val="21"/>
              </w:rPr>
            </w:pPr>
            <w:r>
              <w:rPr>
                <w:rFonts w:ascii="Times New Roman" w:hAnsi="Times New Roman"/>
                <w:b/>
                <w:szCs w:val="21"/>
              </w:rPr>
              <w:t>氨氮(t/a)</w:t>
            </w:r>
          </w:p>
        </w:tc>
        <w:tc>
          <w:tcPr>
            <w:tcW w:w="1134" w:type="dxa"/>
            <w:shd w:val="clear" w:color="auto" w:fill="auto"/>
            <w:vAlign w:val="center"/>
          </w:tcPr>
          <w:p>
            <w:pPr>
              <w:jc w:val="center"/>
              <w:rPr>
                <w:rFonts w:ascii="Times New Roman" w:hAnsi="Times New Roman"/>
                <w:b/>
                <w:szCs w:val="21"/>
              </w:rPr>
            </w:pPr>
            <w:r>
              <w:rPr>
                <w:rFonts w:ascii="Times New Roman" w:hAnsi="Times New Roman"/>
                <w:b/>
                <w:szCs w:val="21"/>
              </w:rPr>
              <w:t>厂内治理设施</w:t>
            </w:r>
          </w:p>
        </w:tc>
        <w:tc>
          <w:tcPr>
            <w:tcW w:w="1184" w:type="dxa"/>
            <w:shd w:val="clear" w:color="auto" w:fill="auto"/>
            <w:vAlign w:val="center"/>
          </w:tcPr>
          <w:p>
            <w:pPr>
              <w:jc w:val="center"/>
              <w:rPr>
                <w:rFonts w:ascii="Times New Roman" w:hAnsi="Times New Roman"/>
                <w:b/>
                <w:szCs w:val="21"/>
              </w:rPr>
            </w:pPr>
            <w:r>
              <w:rPr>
                <w:rFonts w:ascii="Times New Roman" w:hAnsi="Times New Roman"/>
                <w:b/>
                <w:szCs w:val="21"/>
              </w:rPr>
              <w:t>排水去向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4" w:type="dxa"/>
            <w:shd w:val="clear" w:color="auto" w:fill="auto"/>
            <w:vAlign w:val="center"/>
          </w:tcPr>
          <w:p>
            <w:pPr>
              <w:jc w:val="center"/>
              <w:rPr>
                <w:rFonts w:ascii="Times New Roman" w:hAnsi="Times New Roman"/>
                <w:szCs w:val="21"/>
              </w:rPr>
            </w:pPr>
            <w:r>
              <w:rPr>
                <w:rFonts w:ascii="Times New Roman" w:hAnsi="Times New Roman"/>
                <w:szCs w:val="21"/>
              </w:rPr>
              <w:t>1</w:t>
            </w:r>
          </w:p>
        </w:tc>
        <w:tc>
          <w:tcPr>
            <w:tcW w:w="1701" w:type="dxa"/>
            <w:shd w:val="clear" w:color="auto" w:fill="auto"/>
            <w:vAlign w:val="center"/>
          </w:tcPr>
          <w:p>
            <w:pPr>
              <w:jc w:val="center"/>
              <w:rPr>
                <w:rFonts w:ascii="Times New Roman" w:hAnsi="Times New Roman"/>
                <w:szCs w:val="21"/>
              </w:rPr>
            </w:pPr>
            <w:r>
              <w:rPr>
                <w:rFonts w:hint="eastAsia" w:ascii="Times New Roman" w:hAnsi="Times New Roman"/>
                <w:spacing w:val="-1"/>
                <w:szCs w:val="21"/>
              </w:rPr>
              <w:t>台山市昌荣皮业有限公司</w:t>
            </w:r>
          </w:p>
        </w:tc>
        <w:tc>
          <w:tcPr>
            <w:tcW w:w="1134"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126330</w:t>
            </w:r>
          </w:p>
        </w:tc>
        <w:tc>
          <w:tcPr>
            <w:tcW w:w="1134"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2.763</w:t>
            </w:r>
          </w:p>
        </w:tc>
        <w:tc>
          <w:tcPr>
            <w:tcW w:w="992"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0.008</w:t>
            </w:r>
          </w:p>
        </w:tc>
        <w:tc>
          <w:tcPr>
            <w:tcW w:w="1134" w:type="dxa"/>
            <w:shd w:val="clear" w:color="auto" w:fill="auto"/>
            <w:vAlign w:val="center"/>
          </w:tcPr>
          <w:p>
            <w:pPr>
              <w:jc w:val="center"/>
              <w:rPr>
                <w:rFonts w:ascii="Times New Roman" w:hAnsi="Times New Roman"/>
                <w:szCs w:val="21"/>
              </w:rPr>
            </w:pPr>
            <w:r>
              <w:rPr>
                <w:rFonts w:ascii="Times New Roman" w:hAnsi="Times New Roman"/>
                <w:szCs w:val="21"/>
              </w:rPr>
              <w:t>生产废水处理站</w:t>
            </w:r>
            <w:r>
              <w:rPr>
                <w:rFonts w:hint="eastAsia" w:ascii="Times New Roman" w:hAnsi="Times New Roman"/>
                <w:szCs w:val="21"/>
              </w:rPr>
              <w:t>；</w:t>
            </w:r>
            <w:r>
              <w:rPr>
                <w:rFonts w:ascii="Times New Roman" w:hAnsi="Times New Roman"/>
                <w:szCs w:val="21"/>
              </w:rPr>
              <w:t>化粪池</w:t>
            </w:r>
          </w:p>
        </w:tc>
        <w:tc>
          <w:tcPr>
            <w:tcW w:w="1184" w:type="dxa"/>
            <w:shd w:val="clear" w:color="auto" w:fill="auto"/>
            <w:vAlign w:val="center"/>
          </w:tcPr>
          <w:p>
            <w:pPr>
              <w:jc w:val="center"/>
              <w:rPr>
                <w:rFonts w:ascii="Times New Roman" w:hAnsi="Times New Roman"/>
                <w:szCs w:val="21"/>
              </w:rPr>
            </w:pPr>
            <w:r>
              <w:rPr>
                <w:rFonts w:hint="eastAsia" w:ascii="Times New Roman" w:hAnsi="Times New Roman"/>
                <w:szCs w:val="21"/>
                <w:lang w:val="en-US" w:eastAsia="zh-CN"/>
              </w:rPr>
              <w:t>大沙</w:t>
            </w:r>
            <w:r>
              <w:rPr>
                <w:rFonts w:ascii="Times New Roman" w:hAnsi="Times New Roman"/>
                <w:szCs w:val="21"/>
              </w:rPr>
              <w:t>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4" w:type="dxa"/>
            <w:shd w:val="clear" w:color="auto" w:fill="auto"/>
            <w:vAlign w:val="center"/>
          </w:tcPr>
          <w:p>
            <w:pPr>
              <w:jc w:val="center"/>
              <w:rPr>
                <w:rFonts w:ascii="Times New Roman" w:hAnsi="Times New Roman"/>
                <w:szCs w:val="21"/>
              </w:rPr>
            </w:pPr>
            <w:r>
              <w:rPr>
                <w:rFonts w:ascii="Times New Roman" w:hAnsi="Times New Roman"/>
                <w:szCs w:val="21"/>
              </w:rPr>
              <w:t>2</w:t>
            </w:r>
          </w:p>
        </w:tc>
        <w:tc>
          <w:tcPr>
            <w:tcW w:w="1701" w:type="dxa"/>
            <w:shd w:val="clear" w:color="auto" w:fill="auto"/>
            <w:vAlign w:val="center"/>
          </w:tcPr>
          <w:p>
            <w:pPr>
              <w:jc w:val="center"/>
              <w:rPr>
                <w:rFonts w:ascii="Times New Roman" w:hAnsi="Times New Roman"/>
                <w:szCs w:val="21"/>
              </w:rPr>
            </w:pPr>
            <w:r>
              <w:rPr>
                <w:rFonts w:hint="eastAsia" w:ascii="Times New Roman" w:hAnsi="Times New Roman"/>
                <w:spacing w:val="-2"/>
                <w:szCs w:val="21"/>
              </w:rPr>
              <w:t>台山广扬皮业有限公司</w:t>
            </w:r>
          </w:p>
        </w:tc>
        <w:tc>
          <w:tcPr>
            <w:tcW w:w="1134"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117917</w:t>
            </w:r>
          </w:p>
        </w:tc>
        <w:tc>
          <w:tcPr>
            <w:tcW w:w="1134"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2.58</w:t>
            </w:r>
          </w:p>
        </w:tc>
        <w:tc>
          <w:tcPr>
            <w:tcW w:w="992"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0.008</w:t>
            </w:r>
          </w:p>
        </w:tc>
        <w:tc>
          <w:tcPr>
            <w:tcW w:w="1134" w:type="dxa"/>
            <w:shd w:val="clear" w:color="auto" w:fill="auto"/>
            <w:vAlign w:val="center"/>
          </w:tcPr>
          <w:p>
            <w:pPr>
              <w:jc w:val="center"/>
              <w:rPr>
                <w:rFonts w:ascii="Times New Roman" w:hAnsi="Times New Roman"/>
                <w:szCs w:val="21"/>
              </w:rPr>
            </w:pPr>
            <w:r>
              <w:rPr>
                <w:rFonts w:ascii="Times New Roman" w:hAnsi="Times New Roman"/>
                <w:szCs w:val="21"/>
              </w:rPr>
              <w:t>生产废水处理站</w:t>
            </w:r>
            <w:r>
              <w:rPr>
                <w:rFonts w:hint="eastAsia" w:ascii="Times New Roman" w:hAnsi="Times New Roman"/>
                <w:szCs w:val="21"/>
              </w:rPr>
              <w:t>；</w:t>
            </w:r>
            <w:r>
              <w:rPr>
                <w:rFonts w:ascii="Times New Roman" w:hAnsi="Times New Roman"/>
                <w:szCs w:val="21"/>
              </w:rPr>
              <w:t>化粪池</w:t>
            </w:r>
          </w:p>
        </w:tc>
        <w:tc>
          <w:tcPr>
            <w:tcW w:w="1184" w:type="dxa"/>
            <w:shd w:val="clear" w:color="auto" w:fill="auto"/>
            <w:vAlign w:val="center"/>
          </w:tcPr>
          <w:p>
            <w:pPr>
              <w:jc w:val="center"/>
              <w:rPr>
                <w:rFonts w:ascii="Times New Roman" w:hAnsi="Times New Roman"/>
                <w:szCs w:val="21"/>
              </w:rPr>
            </w:pPr>
            <w:r>
              <w:rPr>
                <w:rFonts w:hint="eastAsia" w:ascii="Times New Roman" w:hAnsi="Times New Roman"/>
                <w:szCs w:val="21"/>
                <w:lang w:val="en-US" w:eastAsia="zh-CN"/>
              </w:rPr>
              <w:t>大沙</w:t>
            </w:r>
            <w:r>
              <w:rPr>
                <w:rFonts w:ascii="Times New Roman" w:hAnsi="Times New Roman"/>
                <w:szCs w:val="21"/>
              </w:rPr>
              <w:t>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4" w:type="dxa"/>
            <w:shd w:val="clear" w:color="auto" w:fill="auto"/>
            <w:vAlign w:val="center"/>
          </w:tcPr>
          <w:p>
            <w:pPr>
              <w:jc w:val="center"/>
              <w:rPr>
                <w:rFonts w:ascii="Times New Roman" w:hAnsi="Times New Roman"/>
                <w:szCs w:val="21"/>
              </w:rPr>
            </w:pPr>
            <w:r>
              <w:rPr>
                <w:rFonts w:ascii="Times New Roman" w:hAnsi="Times New Roman"/>
                <w:szCs w:val="21"/>
              </w:rPr>
              <w:t>3</w:t>
            </w:r>
          </w:p>
        </w:tc>
        <w:tc>
          <w:tcPr>
            <w:tcW w:w="1701" w:type="dxa"/>
            <w:shd w:val="clear" w:color="auto" w:fill="auto"/>
            <w:vAlign w:val="center"/>
          </w:tcPr>
          <w:p>
            <w:pPr>
              <w:jc w:val="center"/>
              <w:rPr>
                <w:rFonts w:ascii="Times New Roman" w:hAnsi="Times New Roman"/>
                <w:szCs w:val="21"/>
              </w:rPr>
            </w:pPr>
            <w:r>
              <w:rPr>
                <w:rFonts w:hint="eastAsia" w:ascii="Times New Roman" w:hAnsi="Times New Roman"/>
                <w:spacing w:val="-2"/>
                <w:szCs w:val="21"/>
              </w:rPr>
              <w:t>台山市广一皮业有限公司</w:t>
            </w:r>
          </w:p>
        </w:tc>
        <w:tc>
          <w:tcPr>
            <w:tcW w:w="1134"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117000</w:t>
            </w:r>
          </w:p>
        </w:tc>
        <w:tc>
          <w:tcPr>
            <w:tcW w:w="1134"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2.56</w:t>
            </w:r>
          </w:p>
        </w:tc>
        <w:tc>
          <w:tcPr>
            <w:tcW w:w="992"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0.008</w:t>
            </w:r>
          </w:p>
        </w:tc>
        <w:tc>
          <w:tcPr>
            <w:tcW w:w="1134" w:type="dxa"/>
            <w:shd w:val="clear" w:color="auto" w:fill="auto"/>
            <w:vAlign w:val="center"/>
          </w:tcPr>
          <w:p>
            <w:pPr>
              <w:jc w:val="center"/>
              <w:rPr>
                <w:rFonts w:ascii="Times New Roman" w:hAnsi="Times New Roman"/>
                <w:szCs w:val="21"/>
              </w:rPr>
            </w:pPr>
            <w:r>
              <w:rPr>
                <w:rFonts w:ascii="Times New Roman" w:hAnsi="Times New Roman"/>
                <w:szCs w:val="21"/>
              </w:rPr>
              <w:t>生产废水处理站</w:t>
            </w:r>
            <w:r>
              <w:rPr>
                <w:rFonts w:hint="eastAsia" w:ascii="Times New Roman" w:hAnsi="Times New Roman"/>
                <w:szCs w:val="21"/>
              </w:rPr>
              <w:t>；</w:t>
            </w:r>
            <w:r>
              <w:rPr>
                <w:rFonts w:ascii="Times New Roman" w:hAnsi="Times New Roman"/>
                <w:szCs w:val="21"/>
              </w:rPr>
              <w:t>化粪池</w:t>
            </w:r>
          </w:p>
        </w:tc>
        <w:tc>
          <w:tcPr>
            <w:tcW w:w="1184" w:type="dxa"/>
            <w:shd w:val="clear" w:color="auto" w:fill="auto"/>
            <w:vAlign w:val="center"/>
          </w:tcPr>
          <w:p>
            <w:pPr>
              <w:jc w:val="center"/>
              <w:rPr>
                <w:rFonts w:ascii="Times New Roman" w:hAnsi="Times New Roman"/>
                <w:szCs w:val="21"/>
              </w:rPr>
            </w:pPr>
            <w:r>
              <w:rPr>
                <w:rFonts w:hint="eastAsia" w:ascii="Times New Roman" w:hAnsi="Times New Roman"/>
                <w:szCs w:val="21"/>
                <w:lang w:val="en-US" w:eastAsia="zh-CN"/>
              </w:rPr>
              <w:t>大沙</w:t>
            </w:r>
            <w:r>
              <w:rPr>
                <w:rFonts w:ascii="Times New Roman" w:hAnsi="Times New Roman"/>
                <w:szCs w:val="21"/>
              </w:rPr>
              <w:t>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4" w:type="dxa"/>
            <w:shd w:val="clear" w:color="auto" w:fill="auto"/>
            <w:vAlign w:val="center"/>
          </w:tcPr>
          <w:p>
            <w:pPr>
              <w:jc w:val="center"/>
              <w:rPr>
                <w:rFonts w:ascii="Times New Roman" w:hAnsi="Times New Roman"/>
                <w:szCs w:val="21"/>
              </w:rPr>
            </w:pPr>
            <w:r>
              <w:rPr>
                <w:rFonts w:ascii="Times New Roman" w:hAnsi="Times New Roman"/>
                <w:szCs w:val="21"/>
              </w:rPr>
              <w:t>4</w:t>
            </w:r>
          </w:p>
        </w:tc>
        <w:tc>
          <w:tcPr>
            <w:tcW w:w="1701" w:type="dxa"/>
            <w:shd w:val="clear" w:color="auto" w:fill="auto"/>
            <w:vAlign w:val="center"/>
          </w:tcPr>
          <w:p>
            <w:pPr>
              <w:jc w:val="center"/>
              <w:rPr>
                <w:rFonts w:ascii="Times New Roman" w:hAnsi="Times New Roman"/>
                <w:szCs w:val="21"/>
              </w:rPr>
            </w:pPr>
            <w:r>
              <w:rPr>
                <w:rFonts w:hint="eastAsia" w:ascii="Times New Roman" w:hAnsi="Times New Roman"/>
                <w:spacing w:val="-1"/>
                <w:szCs w:val="21"/>
              </w:rPr>
              <w:t>浩源皮业（台山）有限公司</w:t>
            </w:r>
          </w:p>
        </w:tc>
        <w:tc>
          <w:tcPr>
            <w:tcW w:w="1134"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67500</w:t>
            </w:r>
          </w:p>
        </w:tc>
        <w:tc>
          <w:tcPr>
            <w:tcW w:w="1134"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1.476</w:t>
            </w:r>
          </w:p>
        </w:tc>
        <w:tc>
          <w:tcPr>
            <w:tcW w:w="992"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0.004</w:t>
            </w:r>
          </w:p>
        </w:tc>
        <w:tc>
          <w:tcPr>
            <w:tcW w:w="1134" w:type="dxa"/>
            <w:shd w:val="clear" w:color="auto" w:fill="auto"/>
            <w:vAlign w:val="center"/>
          </w:tcPr>
          <w:p>
            <w:pPr>
              <w:jc w:val="center"/>
              <w:rPr>
                <w:rFonts w:ascii="Times New Roman" w:hAnsi="Times New Roman"/>
                <w:szCs w:val="21"/>
              </w:rPr>
            </w:pPr>
            <w:r>
              <w:rPr>
                <w:rFonts w:ascii="Times New Roman" w:hAnsi="Times New Roman"/>
                <w:szCs w:val="21"/>
              </w:rPr>
              <w:t>生产废水处理站</w:t>
            </w:r>
            <w:r>
              <w:rPr>
                <w:rFonts w:hint="eastAsia" w:ascii="Times New Roman" w:hAnsi="Times New Roman"/>
                <w:szCs w:val="21"/>
              </w:rPr>
              <w:t>；</w:t>
            </w:r>
            <w:r>
              <w:rPr>
                <w:rFonts w:ascii="Times New Roman" w:hAnsi="Times New Roman"/>
                <w:szCs w:val="21"/>
              </w:rPr>
              <w:t>化粪池</w:t>
            </w:r>
          </w:p>
        </w:tc>
        <w:tc>
          <w:tcPr>
            <w:tcW w:w="1184" w:type="dxa"/>
            <w:shd w:val="clear" w:color="auto" w:fill="auto"/>
            <w:vAlign w:val="center"/>
          </w:tcPr>
          <w:p>
            <w:pPr>
              <w:jc w:val="center"/>
              <w:rPr>
                <w:rFonts w:ascii="Times New Roman" w:hAnsi="Times New Roman"/>
                <w:szCs w:val="21"/>
              </w:rPr>
            </w:pPr>
            <w:r>
              <w:rPr>
                <w:rFonts w:hint="eastAsia" w:ascii="Times New Roman" w:hAnsi="Times New Roman"/>
                <w:szCs w:val="21"/>
                <w:lang w:val="en-US" w:eastAsia="zh-CN"/>
              </w:rPr>
              <w:t>大沙</w:t>
            </w:r>
            <w:r>
              <w:rPr>
                <w:rFonts w:ascii="Times New Roman" w:hAnsi="Times New Roman"/>
                <w:szCs w:val="21"/>
              </w:rPr>
              <w:t>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35" w:type="dxa"/>
            <w:gridSpan w:val="2"/>
            <w:shd w:val="clear" w:color="auto" w:fill="auto"/>
            <w:vAlign w:val="center"/>
          </w:tcPr>
          <w:p>
            <w:pPr>
              <w:jc w:val="center"/>
              <w:rPr>
                <w:rFonts w:ascii="Times New Roman" w:hAnsi="Times New Roman"/>
                <w:szCs w:val="21"/>
              </w:rPr>
            </w:pPr>
            <w:r>
              <w:rPr>
                <w:rFonts w:ascii="Times New Roman" w:hAnsi="Times New Roman"/>
                <w:szCs w:val="21"/>
              </w:rPr>
              <w:t>合计</w:t>
            </w:r>
          </w:p>
        </w:tc>
        <w:tc>
          <w:tcPr>
            <w:tcW w:w="1134"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428747</w:t>
            </w:r>
          </w:p>
        </w:tc>
        <w:tc>
          <w:tcPr>
            <w:tcW w:w="1134"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9.379</w:t>
            </w:r>
          </w:p>
        </w:tc>
        <w:tc>
          <w:tcPr>
            <w:tcW w:w="992"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0.028</w:t>
            </w:r>
          </w:p>
        </w:tc>
        <w:tc>
          <w:tcPr>
            <w:tcW w:w="1134" w:type="dxa"/>
            <w:shd w:val="clear" w:color="auto" w:fill="auto"/>
            <w:vAlign w:val="center"/>
          </w:tcPr>
          <w:p>
            <w:pPr>
              <w:jc w:val="center"/>
              <w:rPr>
                <w:rFonts w:ascii="Times New Roman" w:hAnsi="Times New Roman"/>
                <w:szCs w:val="21"/>
              </w:rPr>
            </w:pPr>
            <w:r>
              <w:rPr>
                <w:rFonts w:hint="eastAsia" w:ascii="Times New Roman" w:hAnsi="Times New Roman"/>
                <w:szCs w:val="21"/>
              </w:rPr>
              <w:t>/</w:t>
            </w:r>
          </w:p>
        </w:tc>
        <w:tc>
          <w:tcPr>
            <w:tcW w:w="1184" w:type="dxa"/>
            <w:shd w:val="clear" w:color="auto" w:fill="auto"/>
            <w:vAlign w:val="center"/>
          </w:tcPr>
          <w:p>
            <w:pPr>
              <w:jc w:val="center"/>
              <w:rPr>
                <w:rFonts w:ascii="Times New Roman" w:hAnsi="Times New Roman"/>
                <w:szCs w:val="21"/>
              </w:rPr>
            </w:pPr>
            <w:r>
              <w:rPr>
                <w:rFonts w:hint="eastAsia" w:ascii="Times New Roman" w:hAnsi="Times New Roman"/>
                <w:szCs w:val="21"/>
              </w:rPr>
              <w:t>/</w:t>
            </w:r>
          </w:p>
        </w:tc>
      </w:tr>
    </w:tbl>
    <w:p>
      <w:pPr>
        <w:spacing w:line="360" w:lineRule="auto"/>
        <w:ind w:firstLine="480" w:firstLineChars="200"/>
        <w:rPr>
          <w:rFonts w:hint="default" w:ascii="Times New Roman" w:hAnsi="Times New Roman" w:eastAsia="宋体"/>
          <w:sz w:val="24"/>
          <w:lang w:val="en-US" w:eastAsia="zh-CN"/>
        </w:rPr>
      </w:pPr>
      <w:r>
        <w:rPr>
          <w:rFonts w:hint="eastAsia" w:ascii="Times New Roman" w:hAnsi="Times New Roman"/>
          <w:sz w:val="24"/>
          <w:lang w:val="en-US" w:eastAsia="zh-CN"/>
        </w:rPr>
        <w:t>园区企业的废水经自建污水处理站处理达标后排入大沙污水处理厂进行深度处理达标后排放，大沙污水处理厂的废水排放情况如下表所示。</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b/>
          <w:kern w:val="2"/>
          <w:sz w:val="21"/>
          <w:szCs w:val="21"/>
          <w:lang w:val="en-US" w:eastAsia="zh-CN" w:bidi="ar-SA"/>
        </w:rPr>
      </w:pPr>
      <w:r>
        <w:rPr>
          <w:rFonts w:hint="eastAsia" w:ascii="Times New Roman" w:hAnsi="Times New Roman" w:eastAsia="宋体" w:cs="Times New Roman"/>
          <w:b/>
          <w:kern w:val="2"/>
          <w:sz w:val="21"/>
          <w:szCs w:val="21"/>
          <w:lang w:val="en-US" w:eastAsia="zh-CN" w:bidi="ar-SA"/>
        </w:rPr>
        <w:t>表3.5-3大沙污水处理厂废水排放情况一览表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2"/>
        <w:gridCol w:w="1855"/>
        <w:gridCol w:w="1237"/>
        <w:gridCol w:w="1336"/>
        <w:gridCol w:w="983"/>
        <w:gridCol w:w="1364"/>
        <w:gridCol w:w="1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582" w:type="dxa"/>
            <w:vMerge w:val="restart"/>
            <w:shd w:val="clear" w:color="auto" w:fill="auto"/>
            <w:vAlign w:val="center"/>
          </w:tcPr>
          <w:p>
            <w:pPr>
              <w:jc w:val="center"/>
              <w:rPr>
                <w:rFonts w:ascii="Times New Roman" w:hAnsi="Times New Roman"/>
                <w:b/>
                <w:szCs w:val="21"/>
              </w:rPr>
            </w:pPr>
            <w:r>
              <w:rPr>
                <w:rFonts w:ascii="Times New Roman" w:hAnsi="Times New Roman"/>
                <w:b/>
                <w:szCs w:val="21"/>
              </w:rPr>
              <w:t>序号</w:t>
            </w:r>
          </w:p>
        </w:tc>
        <w:tc>
          <w:tcPr>
            <w:tcW w:w="1855" w:type="dxa"/>
            <w:vMerge w:val="restart"/>
            <w:shd w:val="clear" w:color="auto" w:fill="auto"/>
            <w:vAlign w:val="center"/>
          </w:tcPr>
          <w:p>
            <w:pPr>
              <w:jc w:val="center"/>
              <w:rPr>
                <w:rFonts w:ascii="Times New Roman" w:hAnsi="Times New Roman"/>
                <w:b/>
                <w:szCs w:val="21"/>
              </w:rPr>
            </w:pPr>
            <w:r>
              <w:rPr>
                <w:rFonts w:ascii="Times New Roman" w:hAnsi="Times New Roman"/>
                <w:b/>
                <w:szCs w:val="21"/>
              </w:rPr>
              <w:t>名称</w:t>
            </w:r>
          </w:p>
        </w:tc>
        <w:tc>
          <w:tcPr>
            <w:tcW w:w="1237" w:type="dxa"/>
            <w:vMerge w:val="restart"/>
            <w:shd w:val="clear" w:color="auto" w:fill="auto"/>
            <w:vAlign w:val="center"/>
          </w:tcPr>
          <w:p>
            <w:pPr>
              <w:jc w:val="center"/>
              <w:rPr>
                <w:rFonts w:ascii="Times New Roman" w:hAnsi="Times New Roman"/>
                <w:b/>
                <w:szCs w:val="21"/>
              </w:rPr>
            </w:pPr>
            <w:r>
              <w:rPr>
                <w:rFonts w:ascii="Times New Roman" w:hAnsi="Times New Roman"/>
                <w:b/>
                <w:szCs w:val="21"/>
              </w:rPr>
              <w:t>废水量（m</w:t>
            </w:r>
            <w:r>
              <w:rPr>
                <w:rFonts w:ascii="Times New Roman" w:hAnsi="Times New Roman"/>
                <w:b/>
                <w:szCs w:val="21"/>
                <w:vertAlign w:val="superscript"/>
              </w:rPr>
              <w:t>3</w:t>
            </w:r>
            <w:r>
              <w:rPr>
                <w:rFonts w:ascii="Times New Roman" w:hAnsi="Times New Roman"/>
                <w:b/>
                <w:szCs w:val="21"/>
              </w:rPr>
              <w:t>/a）</w:t>
            </w:r>
          </w:p>
        </w:tc>
        <w:tc>
          <w:tcPr>
            <w:tcW w:w="2319" w:type="dxa"/>
            <w:gridSpan w:val="2"/>
            <w:shd w:val="clear" w:color="auto" w:fill="auto"/>
            <w:vAlign w:val="center"/>
          </w:tcPr>
          <w:p>
            <w:pPr>
              <w:jc w:val="center"/>
              <w:rPr>
                <w:rFonts w:ascii="Times New Roman" w:hAnsi="Times New Roman"/>
                <w:b/>
                <w:szCs w:val="21"/>
              </w:rPr>
            </w:pPr>
            <w:r>
              <w:rPr>
                <w:rFonts w:ascii="Times New Roman" w:hAnsi="Times New Roman"/>
                <w:b/>
                <w:szCs w:val="21"/>
              </w:rPr>
              <w:t>COD</w:t>
            </w:r>
          </w:p>
        </w:tc>
        <w:tc>
          <w:tcPr>
            <w:tcW w:w="2529" w:type="dxa"/>
            <w:gridSpan w:val="2"/>
            <w:shd w:val="clear" w:color="auto" w:fill="auto"/>
            <w:vAlign w:val="center"/>
          </w:tcPr>
          <w:p>
            <w:pPr>
              <w:jc w:val="center"/>
              <w:rPr>
                <w:rFonts w:ascii="Times New Roman" w:hAnsi="Times New Roman"/>
                <w:b/>
                <w:szCs w:val="21"/>
              </w:rPr>
            </w:pPr>
            <w:r>
              <w:rPr>
                <w:rFonts w:ascii="Times New Roman" w:hAnsi="Times New Roman"/>
                <w:b/>
                <w:szCs w:val="21"/>
              </w:rPr>
              <w:t>氨氮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82" w:type="dxa"/>
            <w:vMerge w:val="continue"/>
            <w:shd w:val="clear" w:color="auto" w:fill="auto"/>
            <w:vAlign w:val="center"/>
          </w:tcPr>
          <w:p>
            <w:pPr>
              <w:jc w:val="center"/>
              <w:rPr>
                <w:rFonts w:ascii="Times New Roman" w:hAnsi="Times New Roman"/>
                <w:szCs w:val="21"/>
              </w:rPr>
            </w:pPr>
          </w:p>
        </w:tc>
        <w:tc>
          <w:tcPr>
            <w:tcW w:w="1855" w:type="dxa"/>
            <w:vMerge w:val="continue"/>
            <w:shd w:val="clear" w:color="auto" w:fill="auto"/>
            <w:vAlign w:val="center"/>
          </w:tcPr>
          <w:p>
            <w:pPr>
              <w:jc w:val="center"/>
              <w:rPr>
                <w:rFonts w:hint="default" w:ascii="Times New Roman" w:hAnsi="Times New Roman" w:eastAsia="宋体"/>
                <w:szCs w:val="21"/>
                <w:lang w:val="en-US" w:eastAsia="zh-CN"/>
              </w:rPr>
            </w:pPr>
          </w:p>
        </w:tc>
        <w:tc>
          <w:tcPr>
            <w:tcW w:w="1237" w:type="dxa"/>
            <w:vMerge w:val="continue"/>
            <w:shd w:val="clear" w:color="auto" w:fill="auto"/>
            <w:vAlign w:val="center"/>
          </w:tcPr>
          <w:p>
            <w:pPr>
              <w:jc w:val="center"/>
              <w:rPr>
                <w:rFonts w:hint="default" w:ascii="Times New Roman" w:hAnsi="Times New Roman" w:eastAsia="宋体"/>
                <w:szCs w:val="21"/>
                <w:lang w:val="en-US" w:eastAsia="zh-CN"/>
              </w:rPr>
            </w:pPr>
          </w:p>
        </w:tc>
        <w:tc>
          <w:tcPr>
            <w:tcW w:w="1336"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平均排放浓度（mg/L）</w:t>
            </w:r>
          </w:p>
        </w:tc>
        <w:tc>
          <w:tcPr>
            <w:tcW w:w="983"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排放量</w:t>
            </w:r>
            <w:r>
              <w:rPr>
                <w:rFonts w:ascii="Times New Roman" w:hAnsi="Times New Roman"/>
                <w:b/>
                <w:szCs w:val="21"/>
              </w:rPr>
              <w:t>(t/a)</w:t>
            </w:r>
          </w:p>
        </w:tc>
        <w:tc>
          <w:tcPr>
            <w:tcW w:w="1364" w:type="dxa"/>
            <w:shd w:val="clear" w:color="auto" w:fill="auto"/>
            <w:vAlign w:val="center"/>
          </w:tcPr>
          <w:p>
            <w:pPr>
              <w:jc w:val="center"/>
              <w:rPr>
                <w:rFonts w:ascii="Times New Roman" w:hAnsi="Times New Roman"/>
                <w:szCs w:val="21"/>
              </w:rPr>
            </w:pPr>
            <w:r>
              <w:rPr>
                <w:rFonts w:hint="eastAsia" w:ascii="Times New Roman" w:hAnsi="Times New Roman"/>
                <w:szCs w:val="21"/>
                <w:lang w:val="en-US" w:eastAsia="zh-CN"/>
              </w:rPr>
              <w:t>平均排放浓度（mg/L）</w:t>
            </w:r>
          </w:p>
        </w:tc>
        <w:tc>
          <w:tcPr>
            <w:tcW w:w="1165" w:type="dxa"/>
            <w:shd w:val="clear" w:color="auto" w:fill="auto"/>
            <w:vAlign w:val="center"/>
          </w:tcPr>
          <w:p>
            <w:pPr>
              <w:jc w:val="center"/>
              <w:rPr>
                <w:rFonts w:ascii="Times New Roman" w:hAnsi="Times New Roman"/>
                <w:szCs w:val="21"/>
              </w:rPr>
            </w:pPr>
            <w:r>
              <w:rPr>
                <w:rFonts w:hint="eastAsia" w:ascii="Times New Roman" w:hAnsi="Times New Roman"/>
                <w:szCs w:val="21"/>
                <w:lang w:val="en-US" w:eastAsia="zh-CN"/>
              </w:rPr>
              <w:t>排放量</w:t>
            </w:r>
            <w:r>
              <w:rPr>
                <w:rFonts w:ascii="Times New Roman" w:hAnsi="Times New Roman"/>
                <w:b/>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82" w:type="dxa"/>
            <w:shd w:val="clear" w:color="auto" w:fill="auto"/>
            <w:vAlign w:val="center"/>
          </w:tcPr>
          <w:p>
            <w:pPr>
              <w:jc w:val="center"/>
              <w:rPr>
                <w:rFonts w:ascii="Times New Roman" w:hAnsi="Times New Roman"/>
                <w:szCs w:val="21"/>
              </w:rPr>
            </w:pPr>
            <w:r>
              <w:rPr>
                <w:rFonts w:ascii="Times New Roman" w:hAnsi="Times New Roman"/>
                <w:szCs w:val="21"/>
              </w:rPr>
              <w:t>1</w:t>
            </w:r>
          </w:p>
        </w:tc>
        <w:tc>
          <w:tcPr>
            <w:tcW w:w="1855" w:type="dxa"/>
            <w:shd w:val="clear" w:color="auto" w:fill="auto"/>
            <w:vAlign w:val="center"/>
          </w:tcPr>
          <w:p>
            <w:pPr>
              <w:jc w:val="center"/>
              <w:rPr>
                <w:rFonts w:ascii="Times New Roman" w:hAnsi="Times New Roman"/>
                <w:szCs w:val="21"/>
              </w:rPr>
            </w:pPr>
            <w:r>
              <w:rPr>
                <w:rFonts w:hint="eastAsia" w:ascii="Times New Roman" w:hAnsi="Times New Roman"/>
                <w:spacing w:val="-1"/>
                <w:szCs w:val="21"/>
                <w:lang w:val="en-US" w:eastAsia="zh-CN"/>
              </w:rPr>
              <w:t>大沙污水处理厂</w:t>
            </w:r>
          </w:p>
        </w:tc>
        <w:tc>
          <w:tcPr>
            <w:tcW w:w="1237"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428747</w:t>
            </w:r>
          </w:p>
        </w:tc>
        <w:tc>
          <w:tcPr>
            <w:tcW w:w="1336"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21.876</w:t>
            </w:r>
          </w:p>
        </w:tc>
        <w:tc>
          <w:tcPr>
            <w:tcW w:w="983"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9.379</w:t>
            </w:r>
          </w:p>
        </w:tc>
        <w:tc>
          <w:tcPr>
            <w:tcW w:w="1364"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0.066</w:t>
            </w:r>
          </w:p>
        </w:tc>
        <w:tc>
          <w:tcPr>
            <w:tcW w:w="1165"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0.028</w:t>
            </w:r>
          </w:p>
        </w:tc>
      </w:tr>
    </w:tbl>
    <w:p>
      <w:pPr>
        <w:spacing w:line="360" w:lineRule="auto"/>
        <w:ind w:firstLine="480" w:firstLineChars="200"/>
        <w:rPr>
          <w:rFonts w:hint="eastAsia" w:ascii="Times New Roman" w:hAnsi="Times New Roman"/>
          <w:sz w:val="24"/>
          <w:lang w:eastAsia="zh-CN"/>
        </w:rPr>
      </w:pPr>
      <w:r>
        <w:rPr>
          <w:rFonts w:hint="eastAsia" w:ascii="Times New Roman" w:hAnsi="Times New Roman"/>
          <w:color w:val="000000" w:themeColor="text1"/>
          <w:sz w:val="24"/>
          <w14:textFill>
            <w14:solidFill>
              <w14:schemeClr w14:val="tx1"/>
            </w14:solidFill>
          </w14:textFill>
        </w:rPr>
        <w:t>园区目前进驻企业的废水</w:t>
      </w:r>
      <w:r>
        <w:rPr>
          <w:rFonts w:hint="eastAsia" w:ascii="Times New Roman" w:hAnsi="Times New Roman"/>
          <w:color w:val="000000" w:themeColor="text1"/>
          <w:sz w:val="24"/>
          <w:lang w:val="en-US" w:eastAsia="zh-CN"/>
          <w14:textFill>
            <w14:solidFill>
              <w14:schemeClr w14:val="tx1"/>
            </w14:solidFill>
          </w14:textFill>
        </w:rPr>
        <w:t>排放</w:t>
      </w:r>
      <w:r>
        <w:rPr>
          <w:rFonts w:hint="eastAsia" w:ascii="Times New Roman" w:hAnsi="Times New Roman"/>
          <w:color w:val="000000" w:themeColor="text1"/>
          <w:sz w:val="24"/>
          <w14:textFill>
            <w14:solidFill>
              <w14:schemeClr w14:val="tx1"/>
            </w14:solidFill>
          </w14:textFill>
        </w:rPr>
        <w:t>量为428747m</w:t>
      </w:r>
      <w:r>
        <w:rPr>
          <w:rFonts w:hint="eastAsia" w:ascii="Times New Roman" w:hAnsi="Times New Roman"/>
          <w:color w:val="000000" w:themeColor="text1"/>
          <w:sz w:val="24"/>
          <w:vertAlign w:val="superscript"/>
          <w14:textFill>
            <w14:solidFill>
              <w14:schemeClr w14:val="tx1"/>
            </w14:solidFill>
          </w14:textFill>
        </w:rPr>
        <w:t>3</w:t>
      </w:r>
      <w:r>
        <w:rPr>
          <w:rFonts w:hint="eastAsia" w:ascii="Times New Roman" w:hAnsi="Times New Roman"/>
          <w:color w:val="000000" w:themeColor="text1"/>
          <w:sz w:val="24"/>
          <w14:textFill>
            <w14:solidFill>
              <w14:schemeClr w14:val="tx1"/>
            </w14:solidFill>
          </w14:textFill>
        </w:rPr>
        <w:t>/a</w:t>
      </w:r>
      <w:r>
        <w:rPr>
          <w:rFonts w:hint="eastAsia" w:ascii="Times New Roman" w:hAnsi="Times New Roman"/>
          <w:color w:val="000000" w:themeColor="text1"/>
          <w:sz w:val="24"/>
          <w:lang w:eastAsia="zh-CN"/>
          <w14:textFill>
            <w14:solidFill>
              <w14:schemeClr w14:val="tx1"/>
            </w14:solidFill>
          </w14:textFill>
        </w:rPr>
        <w:t>（</w:t>
      </w:r>
      <w:r>
        <w:rPr>
          <w:rFonts w:hint="eastAsia" w:ascii="Times New Roman" w:hAnsi="Times New Roman"/>
          <w:color w:val="000000" w:themeColor="text1"/>
          <w:sz w:val="24"/>
          <w:lang w:val="en-US" w:eastAsia="zh-CN"/>
          <w14:textFill>
            <w14:solidFill>
              <w14:schemeClr w14:val="tx1"/>
            </w14:solidFill>
          </w14:textFill>
        </w:rPr>
        <w:t>1429.15</w:t>
      </w:r>
      <w:r>
        <w:rPr>
          <w:rFonts w:hint="eastAsia" w:ascii="Times New Roman" w:hAnsi="Times New Roman"/>
          <w:color w:val="000000" w:themeColor="text1"/>
          <w:sz w:val="24"/>
          <w14:textFill>
            <w14:solidFill>
              <w14:schemeClr w14:val="tx1"/>
            </w14:solidFill>
          </w14:textFill>
        </w:rPr>
        <w:t>m</w:t>
      </w:r>
      <w:r>
        <w:rPr>
          <w:rFonts w:hint="eastAsia" w:ascii="Times New Roman" w:hAnsi="Times New Roman"/>
          <w:color w:val="000000" w:themeColor="text1"/>
          <w:sz w:val="24"/>
          <w:vertAlign w:val="superscript"/>
          <w14:textFill>
            <w14:solidFill>
              <w14:schemeClr w14:val="tx1"/>
            </w14:solidFill>
          </w14:textFill>
        </w:rPr>
        <w:t>3</w:t>
      </w:r>
      <w:r>
        <w:rPr>
          <w:rFonts w:hint="eastAsia" w:ascii="Times New Roman" w:hAnsi="Times New Roman"/>
          <w:color w:val="000000" w:themeColor="text1"/>
          <w:sz w:val="24"/>
          <w14:textFill>
            <w14:solidFill>
              <w14:schemeClr w14:val="tx1"/>
            </w14:solidFill>
          </w14:textFill>
        </w:rPr>
        <w:t>/a</w:t>
      </w:r>
      <w:r>
        <w:rPr>
          <w:rFonts w:hint="eastAsia" w:ascii="Times New Roman" w:hAnsi="Times New Roman"/>
          <w:color w:val="000000" w:themeColor="text1"/>
          <w:sz w:val="24"/>
          <w:lang w:eastAsia="zh-CN"/>
          <w14:textFill>
            <w14:solidFill>
              <w14:schemeClr w14:val="tx1"/>
            </w14:solidFill>
          </w14:textFill>
        </w:rPr>
        <w:t>）</w:t>
      </w:r>
      <w:r>
        <w:rPr>
          <w:rFonts w:hint="eastAsia" w:ascii="Times New Roman" w:hAnsi="Times New Roman"/>
          <w:color w:val="000000" w:themeColor="text1"/>
          <w:sz w:val="24"/>
          <w14:textFill>
            <w14:solidFill>
              <w14:schemeClr w14:val="tx1"/>
            </w14:solidFill>
          </w14:textFill>
        </w:rPr>
        <w:t>，</w:t>
      </w:r>
      <w:r>
        <w:rPr>
          <w:rFonts w:hint="eastAsia" w:ascii="Times New Roman" w:hAnsi="Times New Roman"/>
          <w:color w:val="000000" w:themeColor="text1"/>
          <w:sz w:val="24"/>
          <w:lang w:val="en-US" w:eastAsia="zh-CN"/>
          <w14:textFill>
            <w14:solidFill>
              <w14:schemeClr w14:val="tx1"/>
            </w14:solidFill>
          </w14:textFill>
        </w:rPr>
        <w:t>外排</w:t>
      </w:r>
      <w:r>
        <w:rPr>
          <w:rFonts w:hint="eastAsia" w:ascii="Times New Roman" w:hAnsi="Times New Roman"/>
          <w:color w:val="000000" w:themeColor="text1"/>
          <w:sz w:val="24"/>
          <w14:textFill>
            <w14:solidFill>
              <w14:schemeClr w14:val="tx1"/>
            </w14:solidFill>
          </w14:textFill>
        </w:rPr>
        <w:t>的COD量</w:t>
      </w:r>
      <w:r>
        <w:rPr>
          <w:rFonts w:hint="eastAsia" w:ascii="Times New Roman" w:hAnsi="Times New Roman"/>
          <w:color w:val="000000" w:themeColor="text1"/>
          <w:sz w:val="24"/>
          <w:lang w:val="en-US" w:eastAsia="zh-CN"/>
          <w14:textFill>
            <w14:solidFill>
              <w14:schemeClr w14:val="tx1"/>
            </w14:solidFill>
          </w14:textFill>
        </w:rPr>
        <w:t>9.379</w:t>
      </w:r>
      <w:r>
        <w:rPr>
          <w:rFonts w:hint="eastAsia" w:ascii="Times New Roman" w:hAnsi="Times New Roman"/>
          <w:color w:val="000000" w:themeColor="text1"/>
          <w:sz w:val="24"/>
          <w14:textFill>
            <w14:solidFill>
              <w14:schemeClr w14:val="tx1"/>
            </w14:solidFill>
          </w14:textFill>
        </w:rPr>
        <w:t>t/a，NH</w:t>
      </w:r>
      <w:r>
        <w:rPr>
          <w:rFonts w:hint="eastAsia" w:ascii="Times New Roman" w:hAnsi="Times New Roman"/>
          <w:color w:val="000000" w:themeColor="text1"/>
          <w:sz w:val="24"/>
          <w:vertAlign w:val="subscript"/>
          <w14:textFill>
            <w14:solidFill>
              <w14:schemeClr w14:val="tx1"/>
            </w14:solidFill>
          </w14:textFill>
        </w:rPr>
        <w:t>3</w:t>
      </w:r>
      <w:r>
        <w:rPr>
          <w:rFonts w:hint="eastAsia" w:ascii="Times New Roman" w:hAnsi="Times New Roman"/>
          <w:color w:val="000000" w:themeColor="text1"/>
          <w:sz w:val="24"/>
          <w14:textFill>
            <w14:solidFill>
              <w14:schemeClr w14:val="tx1"/>
            </w14:solidFill>
          </w14:textFill>
        </w:rPr>
        <w:t>-N量为</w:t>
      </w:r>
      <w:r>
        <w:rPr>
          <w:rFonts w:hint="eastAsia" w:ascii="Times New Roman" w:hAnsi="Times New Roman"/>
          <w:color w:val="000000" w:themeColor="text1"/>
          <w:sz w:val="24"/>
          <w:lang w:val="en-US" w:eastAsia="zh-CN"/>
          <w14:textFill>
            <w14:solidFill>
              <w14:schemeClr w14:val="tx1"/>
            </w14:solidFill>
          </w14:textFill>
        </w:rPr>
        <w:t>0.028</w:t>
      </w:r>
      <w:r>
        <w:rPr>
          <w:rFonts w:hint="eastAsia" w:ascii="Times New Roman" w:hAnsi="Times New Roman"/>
          <w:color w:val="000000" w:themeColor="text1"/>
          <w:sz w:val="24"/>
          <w14:textFill>
            <w14:solidFill>
              <w14:schemeClr w14:val="tx1"/>
            </w14:solidFill>
          </w14:textFill>
        </w:rPr>
        <w:t>t/a。对比《</w:t>
      </w:r>
      <w:r>
        <w:rPr>
          <w:rFonts w:hint="eastAsia" w:ascii="Times New Roman" w:hAnsi="Times New Roman"/>
          <w:color w:val="000000" w:themeColor="text1"/>
          <w:sz w:val="24"/>
          <w:lang w:eastAsia="zh-CN"/>
          <w14:textFill>
            <w14:solidFill>
              <w14:schemeClr w14:val="tx1"/>
            </w14:solidFill>
          </w14:textFill>
        </w:rPr>
        <w:t>台山市广海镇大沙环保工业区</w:t>
      </w:r>
      <w:r>
        <w:rPr>
          <w:rFonts w:hint="eastAsia" w:ascii="Times New Roman" w:hAnsi="Times New Roman"/>
          <w:color w:val="000000" w:themeColor="text1"/>
          <w:sz w:val="24"/>
          <w14:textFill>
            <w14:solidFill>
              <w14:schemeClr w14:val="tx1"/>
            </w14:solidFill>
          </w14:textFill>
        </w:rPr>
        <w:t>环境影响报告书》园区废水</w:t>
      </w:r>
      <w:r>
        <w:rPr>
          <w:rFonts w:hint="eastAsia" w:ascii="Times New Roman" w:hAnsi="Times New Roman"/>
          <w:color w:val="000000" w:themeColor="text1"/>
          <w:sz w:val="24"/>
          <w:lang w:val="en-US" w:eastAsia="zh-CN"/>
          <w14:textFill>
            <w14:solidFill>
              <w14:schemeClr w14:val="tx1"/>
            </w14:solidFill>
          </w14:textFill>
        </w:rPr>
        <w:t>排放</w:t>
      </w:r>
      <w:r>
        <w:rPr>
          <w:rFonts w:hint="eastAsia" w:ascii="Times New Roman" w:hAnsi="Times New Roman"/>
          <w:color w:val="000000" w:themeColor="text1"/>
          <w:sz w:val="24"/>
          <w14:textFill>
            <w14:solidFill>
              <w14:schemeClr w14:val="tx1"/>
            </w14:solidFill>
          </w14:textFill>
        </w:rPr>
        <w:t>量</w:t>
      </w:r>
      <w:r>
        <w:rPr>
          <w:rFonts w:hint="eastAsia" w:ascii="Times New Roman" w:hAnsi="Times New Roman"/>
          <w:color w:val="000000" w:themeColor="text1"/>
          <w:sz w:val="24"/>
          <w:lang w:val="en-US" w:eastAsia="zh-CN"/>
          <w14:textFill>
            <w14:solidFill>
              <w14:schemeClr w14:val="tx1"/>
            </w14:solidFill>
          </w14:textFill>
        </w:rPr>
        <w:t>及水污染物的排放量</w:t>
      </w:r>
      <w:r>
        <w:rPr>
          <w:rFonts w:hint="eastAsia" w:ascii="Times New Roman" w:hAnsi="Times New Roman"/>
          <w:color w:val="000000" w:themeColor="text1"/>
          <w:sz w:val="24"/>
          <w14:textFill>
            <w14:solidFill>
              <w14:schemeClr w14:val="tx1"/>
            </w14:solidFill>
          </w14:textFill>
        </w:rPr>
        <w:t>COD量</w:t>
      </w:r>
      <w:r>
        <w:rPr>
          <w:rFonts w:hint="eastAsia" w:ascii="Times New Roman" w:hAnsi="Times New Roman"/>
          <w:color w:val="000000" w:themeColor="text1"/>
          <w:sz w:val="24"/>
          <w:lang w:val="en-US" w:eastAsia="zh-CN"/>
          <w14:textFill>
            <w14:solidFill>
              <w14:schemeClr w14:val="tx1"/>
            </w14:solidFill>
          </w14:textFill>
        </w:rPr>
        <w:t>1500</w:t>
      </w:r>
      <w:r>
        <w:rPr>
          <w:rFonts w:hint="eastAsia" w:ascii="Times New Roman" w:hAnsi="Times New Roman"/>
          <w:color w:val="000000" w:themeColor="text1"/>
          <w:sz w:val="24"/>
          <w14:textFill>
            <w14:solidFill>
              <w14:schemeClr w14:val="tx1"/>
            </w14:solidFill>
          </w14:textFill>
        </w:rPr>
        <w:t>t/a</w:t>
      </w:r>
      <w:r>
        <w:rPr>
          <w:rFonts w:hint="eastAsia"/>
          <w:color w:val="000000" w:themeColor="text1"/>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未</w:t>
      </w:r>
      <w:r>
        <w:rPr>
          <w:rFonts w:hint="eastAsia" w:ascii="Times New Roman" w:hAnsi="Times New Roman"/>
          <w:color w:val="000000" w:themeColor="text1"/>
          <w:sz w:val="24"/>
          <w:szCs w:val="24"/>
          <w:lang w:val="en-US" w:eastAsia="zh-CN"/>
          <w14:textFill>
            <w14:solidFill>
              <w14:schemeClr w14:val="tx1"/>
            </w14:solidFill>
          </w14:textFill>
        </w:rPr>
        <w:t>对</w:t>
      </w:r>
      <w:r>
        <w:rPr>
          <w:rFonts w:hint="eastAsia" w:ascii="Times New Roman" w:hAnsi="Times New Roman"/>
          <w:color w:val="000000" w:themeColor="text1"/>
          <w:sz w:val="24"/>
          <w:lang w:val="en-US" w:eastAsia="zh-CN"/>
          <w14:textFill>
            <w14:solidFill>
              <w14:schemeClr w14:val="tx1"/>
            </w14:solidFill>
          </w14:textFill>
        </w:rPr>
        <w:t>氨氮进行总量控制要求，因此园区外排的废水污染物COD及氨氮</w:t>
      </w:r>
      <w:r>
        <w:rPr>
          <w:rFonts w:hint="eastAsia" w:ascii="Times New Roman" w:hAnsi="Times New Roman"/>
          <w:color w:val="000000" w:themeColor="text1"/>
          <w:sz w:val="24"/>
          <w14:textFill>
            <w14:solidFill>
              <w14:schemeClr w14:val="tx1"/>
            </w14:solidFill>
          </w14:textFill>
        </w:rPr>
        <w:t>未超出总量</w:t>
      </w:r>
      <w:r>
        <w:rPr>
          <w:rFonts w:hint="eastAsia" w:ascii="Times New Roman" w:hAnsi="Times New Roman"/>
          <w:color w:val="000000" w:themeColor="text1"/>
          <w:sz w:val="24"/>
          <w:lang w:val="en-US" w:eastAsia="zh-CN"/>
          <w14:textFill>
            <w14:solidFill>
              <w14:schemeClr w14:val="tx1"/>
            </w14:solidFill>
          </w14:textFill>
        </w:rPr>
        <w:t>要求</w:t>
      </w:r>
      <w:r>
        <w:rPr>
          <w:rFonts w:hint="eastAsia" w:ascii="Times New Roman" w:hAnsi="Times New Roman"/>
          <w:color w:val="000000" w:themeColor="text1"/>
          <w:sz w:val="24"/>
          <w:lang w:eastAsia="zh-CN"/>
          <w14:textFill>
            <w14:solidFill>
              <w14:schemeClr w14:val="tx1"/>
            </w14:solidFill>
          </w14:textFill>
        </w:rPr>
        <w:t>。</w:t>
      </w:r>
    </w:p>
    <w:p>
      <w:pPr>
        <w:pStyle w:val="15"/>
      </w:pPr>
      <w:bookmarkStart w:id="35" w:name="_Toc97912854"/>
      <w:r>
        <w:rPr>
          <w:rFonts w:hint="eastAsia"/>
        </w:rPr>
        <w:t>3</w:t>
      </w:r>
      <w:r>
        <w:t>.5.</w:t>
      </w:r>
      <w:r>
        <w:rPr>
          <w:rFonts w:hint="eastAsia"/>
          <w:lang w:val="en-US" w:eastAsia="zh-CN"/>
        </w:rPr>
        <w:t>3</w:t>
      </w:r>
      <w:r>
        <w:t>废气排放情况</w:t>
      </w:r>
      <w:bookmarkEnd w:id="35"/>
    </w:p>
    <w:p>
      <w:pPr>
        <w:spacing w:line="360" w:lineRule="auto"/>
        <w:ind w:firstLine="480" w:firstLineChars="200"/>
        <w:rPr>
          <w:rFonts w:hint="eastAsia" w:ascii="Times New Roman" w:hAnsi="Times New Roman"/>
          <w:sz w:val="24"/>
        </w:rPr>
      </w:pPr>
      <w:r>
        <w:rPr>
          <w:rFonts w:hint="eastAsia" w:ascii="Times New Roman" w:hAnsi="Times New Roman"/>
          <w:sz w:val="24"/>
        </w:rPr>
        <w:t>根据对园区已建企业的调查，园区内现有企业废气排放情况见下表所示：</w:t>
      </w:r>
    </w:p>
    <w:p>
      <w:pPr>
        <w:pStyle w:val="2"/>
        <w:rPr>
          <w:rFonts w:hint="eastAsia" w:ascii="Times New Roman" w:hAnsi="Times New Roman"/>
          <w:sz w:val="24"/>
        </w:rPr>
      </w:pPr>
    </w:p>
    <w:p>
      <w:pPr>
        <w:rPr>
          <w:rFonts w:hint="eastAsia" w:ascii="Times New Roman" w:hAnsi="Times New Roman"/>
          <w:sz w:val="24"/>
        </w:rPr>
      </w:pPr>
    </w:p>
    <w:p>
      <w:pPr>
        <w:pStyle w:val="2"/>
      </w:pPr>
    </w:p>
    <w:p>
      <w:pPr>
        <w:pStyle w:val="70"/>
        <w:ind w:firstLine="0" w:firstLineChars="0"/>
        <w:rPr>
          <w:rFonts w:eastAsia="宋体"/>
        </w:rPr>
      </w:pPr>
      <w:r>
        <w:rPr>
          <w:rFonts w:hint="default" w:ascii="Times New Roman" w:hAnsi="Times New Roman" w:eastAsia="宋体" w:cs="Times New Roman"/>
          <w:b/>
          <w:sz w:val="21"/>
          <w:szCs w:val="21"/>
        </w:rPr>
        <w:t>表3.5-</w:t>
      </w:r>
      <w:r>
        <w:rPr>
          <w:rFonts w:hint="default" w:ascii="Times New Roman" w:hAnsi="Times New Roman" w:eastAsia="宋体" w:cs="Times New Roman"/>
          <w:b/>
          <w:sz w:val="21"/>
          <w:szCs w:val="21"/>
          <w:lang w:val="en-US" w:eastAsia="zh-CN"/>
        </w:rPr>
        <w:t>3</w:t>
      </w:r>
      <w:r>
        <w:rPr>
          <w:rFonts w:hint="default" w:ascii="Times New Roman" w:hAnsi="Times New Roman" w:eastAsia="宋体" w:cs="Times New Roman"/>
          <w:b/>
          <w:sz w:val="21"/>
          <w:szCs w:val="21"/>
        </w:rPr>
        <w:t>企业废气排放情况一览表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3452"/>
        <w:gridCol w:w="2210"/>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34" w:type="dxa"/>
            <w:vMerge w:val="restart"/>
            <w:shd w:val="clear" w:color="auto" w:fill="auto"/>
            <w:vAlign w:val="center"/>
          </w:tcPr>
          <w:p>
            <w:pPr>
              <w:jc w:val="center"/>
              <w:rPr>
                <w:rFonts w:ascii="Times New Roman" w:hAnsi="Times New Roman"/>
                <w:b/>
                <w:szCs w:val="21"/>
              </w:rPr>
            </w:pPr>
            <w:r>
              <w:rPr>
                <w:rFonts w:ascii="Times New Roman" w:hAnsi="Times New Roman"/>
                <w:b/>
                <w:szCs w:val="21"/>
              </w:rPr>
              <w:t>序号</w:t>
            </w:r>
          </w:p>
        </w:tc>
        <w:tc>
          <w:tcPr>
            <w:tcW w:w="3452" w:type="dxa"/>
            <w:vMerge w:val="restart"/>
            <w:shd w:val="clear" w:color="auto" w:fill="auto"/>
            <w:vAlign w:val="center"/>
          </w:tcPr>
          <w:p>
            <w:pPr>
              <w:jc w:val="center"/>
              <w:rPr>
                <w:rFonts w:ascii="Times New Roman" w:hAnsi="Times New Roman"/>
                <w:b/>
                <w:szCs w:val="21"/>
              </w:rPr>
            </w:pPr>
            <w:r>
              <w:rPr>
                <w:rFonts w:ascii="Times New Roman" w:hAnsi="Times New Roman"/>
                <w:b/>
                <w:szCs w:val="21"/>
              </w:rPr>
              <w:t>企业名称</w:t>
            </w:r>
          </w:p>
        </w:tc>
        <w:tc>
          <w:tcPr>
            <w:tcW w:w="4236" w:type="dxa"/>
            <w:gridSpan w:val="2"/>
            <w:shd w:val="clear" w:color="auto" w:fill="auto"/>
            <w:vAlign w:val="center"/>
          </w:tcPr>
          <w:p>
            <w:pPr>
              <w:jc w:val="center"/>
              <w:rPr>
                <w:rFonts w:hint="default" w:ascii="Times New Roman" w:hAnsi="Times New Roman" w:eastAsia="宋体"/>
                <w:b/>
                <w:szCs w:val="21"/>
                <w:lang w:val="en-US" w:eastAsia="zh-CN"/>
              </w:rPr>
            </w:pPr>
            <w:r>
              <w:rPr>
                <w:rFonts w:hint="eastAsia" w:ascii="Times New Roman" w:hAnsi="Times New Roman"/>
                <w:b/>
                <w:szCs w:val="21"/>
                <w:lang w:val="en-US" w:eastAsia="zh-CN"/>
              </w:rPr>
              <w:t>污染物排放量t/a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34" w:type="dxa"/>
            <w:vMerge w:val="continue"/>
            <w:shd w:val="clear" w:color="auto" w:fill="auto"/>
            <w:vAlign w:val="center"/>
          </w:tcPr>
          <w:p>
            <w:pPr>
              <w:widowControl/>
              <w:jc w:val="center"/>
              <w:rPr>
                <w:rFonts w:ascii="Times New Roman" w:hAnsi="Times New Roman"/>
                <w:b/>
                <w:szCs w:val="21"/>
              </w:rPr>
            </w:pPr>
          </w:p>
        </w:tc>
        <w:tc>
          <w:tcPr>
            <w:tcW w:w="3452" w:type="dxa"/>
            <w:vMerge w:val="continue"/>
            <w:shd w:val="clear" w:color="auto" w:fill="auto"/>
            <w:vAlign w:val="center"/>
          </w:tcPr>
          <w:p>
            <w:pPr>
              <w:widowControl/>
              <w:jc w:val="center"/>
              <w:rPr>
                <w:rFonts w:ascii="Times New Roman" w:hAnsi="Times New Roman"/>
                <w:b/>
                <w:szCs w:val="21"/>
              </w:rPr>
            </w:pPr>
          </w:p>
        </w:tc>
        <w:tc>
          <w:tcPr>
            <w:tcW w:w="2210" w:type="dxa"/>
            <w:shd w:val="clear" w:color="auto" w:fill="auto"/>
            <w:vAlign w:val="center"/>
          </w:tcPr>
          <w:p>
            <w:pPr>
              <w:jc w:val="center"/>
              <w:rPr>
                <w:rFonts w:ascii="Times New Roman" w:hAnsi="Times New Roman"/>
                <w:b/>
                <w:szCs w:val="21"/>
              </w:rPr>
            </w:pPr>
            <w:r>
              <w:rPr>
                <w:rFonts w:ascii="Times New Roman" w:hAnsi="Times New Roman"/>
                <w:b/>
                <w:szCs w:val="21"/>
              </w:rPr>
              <w:t>颗粒物</w:t>
            </w:r>
          </w:p>
        </w:tc>
        <w:tc>
          <w:tcPr>
            <w:tcW w:w="2026" w:type="dxa"/>
            <w:shd w:val="clear" w:color="auto" w:fill="auto"/>
            <w:vAlign w:val="center"/>
          </w:tcPr>
          <w:p>
            <w:pPr>
              <w:jc w:val="center"/>
              <w:rPr>
                <w:rFonts w:ascii="Times New Roman" w:hAnsi="Times New Roman"/>
                <w:b/>
                <w:szCs w:val="21"/>
              </w:rPr>
            </w:pPr>
            <w:r>
              <w:rPr>
                <w:rFonts w:ascii="Times New Roman" w:hAnsi="Times New Roman"/>
                <w:b/>
                <w:szCs w:val="21"/>
              </w:rPr>
              <w:t>VOCs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4" w:type="dxa"/>
            <w:shd w:val="clear" w:color="auto" w:fill="auto"/>
            <w:vAlign w:val="center"/>
          </w:tcPr>
          <w:p>
            <w:pPr>
              <w:jc w:val="center"/>
              <w:rPr>
                <w:rFonts w:ascii="Times New Roman" w:hAnsi="Times New Roman"/>
                <w:szCs w:val="21"/>
              </w:rPr>
            </w:pPr>
            <w:r>
              <w:rPr>
                <w:rFonts w:ascii="Times New Roman" w:hAnsi="Times New Roman"/>
                <w:szCs w:val="21"/>
              </w:rPr>
              <w:t>1</w:t>
            </w:r>
          </w:p>
        </w:tc>
        <w:tc>
          <w:tcPr>
            <w:tcW w:w="3452" w:type="dxa"/>
            <w:shd w:val="clear" w:color="auto" w:fill="auto"/>
            <w:vAlign w:val="center"/>
          </w:tcPr>
          <w:p>
            <w:pPr>
              <w:jc w:val="center"/>
              <w:rPr>
                <w:rFonts w:ascii="Times New Roman" w:hAnsi="Times New Roman"/>
                <w:szCs w:val="21"/>
              </w:rPr>
            </w:pPr>
            <w:r>
              <w:rPr>
                <w:rFonts w:hint="eastAsia" w:ascii="Times New Roman" w:hAnsi="Times New Roman"/>
                <w:spacing w:val="-1"/>
                <w:szCs w:val="21"/>
              </w:rPr>
              <w:t>台山市昌荣皮业有限公司</w:t>
            </w:r>
          </w:p>
        </w:tc>
        <w:tc>
          <w:tcPr>
            <w:tcW w:w="2210" w:type="dxa"/>
            <w:shd w:val="clear" w:color="auto" w:fill="auto"/>
            <w:vAlign w:val="center"/>
          </w:tcPr>
          <w:p>
            <w:pPr>
              <w:jc w:val="center"/>
              <w:rPr>
                <w:rFonts w:hint="eastAsia" w:ascii="Times New Roman" w:hAnsi="Times New Roman" w:eastAsia="宋体"/>
                <w:szCs w:val="21"/>
                <w:lang w:eastAsia="zh-CN"/>
              </w:rPr>
            </w:pPr>
            <w:r>
              <w:rPr>
                <w:rFonts w:hint="eastAsia" w:ascii="Times New Roman" w:hAnsi="Times New Roman"/>
                <w:szCs w:val="21"/>
                <w:lang w:val="en-US" w:eastAsia="zh-CN"/>
              </w:rPr>
              <w:t>0</w:t>
            </w:r>
          </w:p>
        </w:tc>
        <w:tc>
          <w:tcPr>
            <w:tcW w:w="2026"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0.813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4" w:type="dxa"/>
            <w:shd w:val="clear" w:color="auto" w:fill="auto"/>
            <w:vAlign w:val="center"/>
          </w:tcPr>
          <w:p>
            <w:pPr>
              <w:jc w:val="center"/>
              <w:rPr>
                <w:rFonts w:ascii="Times New Roman" w:hAnsi="Times New Roman"/>
                <w:szCs w:val="21"/>
              </w:rPr>
            </w:pPr>
            <w:r>
              <w:rPr>
                <w:rFonts w:ascii="Times New Roman" w:hAnsi="Times New Roman"/>
                <w:szCs w:val="21"/>
              </w:rPr>
              <w:t>2</w:t>
            </w:r>
          </w:p>
        </w:tc>
        <w:tc>
          <w:tcPr>
            <w:tcW w:w="3452" w:type="dxa"/>
            <w:shd w:val="clear" w:color="auto" w:fill="auto"/>
            <w:vAlign w:val="center"/>
          </w:tcPr>
          <w:p>
            <w:pPr>
              <w:jc w:val="center"/>
              <w:rPr>
                <w:rFonts w:ascii="Times New Roman" w:hAnsi="Times New Roman"/>
                <w:szCs w:val="21"/>
              </w:rPr>
            </w:pPr>
            <w:r>
              <w:rPr>
                <w:rFonts w:hint="eastAsia" w:ascii="Times New Roman" w:hAnsi="Times New Roman"/>
                <w:spacing w:val="-2"/>
                <w:szCs w:val="21"/>
              </w:rPr>
              <w:t>台山广扬皮业有限公司</w:t>
            </w:r>
          </w:p>
        </w:tc>
        <w:tc>
          <w:tcPr>
            <w:tcW w:w="2210" w:type="dxa"/>
            <w:shd w:val="clear" w:color="auto" w:fill="auto"/>
            <w:vAlign w:val="center"/>
          </w:tcPr>
          <w:p>
            <w:pPr>
              <w:jc w:val="center"/>
              <w:rPr>
                <w:rFonts w:hint="eastAsia" w:ascii="Times New Roman" w:hAnsi="Times New Roman" w:eastAsia="宋体"/>
                <w:szCs w:val="21"/>
                <w:lang w:eastAsia="zh-CN"/>
              </w:rPr>
            </w:pPr>
            <w:r>
              <w:rPr>
                <w:rFonts w:hint="eastAsia" w:ascii="Times New Roman" w:hAnsi="Times New Roman"/>
                <w:szCs w:val="21"/>
                <w:lang w:val="en-US" w:eastAsia="zh-CN"/>
              </w:rPr>
              <w:t>0</w:t>
            </w:r>
          </w:p>
        </w:tc>
        <w:tc>
          <w:tcPr>
            <w:tcW w:w="2026" w:type="dxa"/>
            <w:shd w:val="clear" w:color="auto" w:fill="auto"/>
            <w:vAlign w:val="center"/>
          </w:tcPr>
          <w:p>
            <w:pPr>
              <w:jc w:val="center"/>
              <w:rPr>
                <w:rFonts w:hint="eastAsia" w:ascii="Times New Roman" w:hAnsi="Times New Roman" w:eastAsia="宋体"/>
                <w:szCs w:val="21"/>
                <w:lang w:eastAsia="zh-CN"/>
              </w:rPr>
            </w:pPr>
            <w:r>
              <w:rPr>
                <w:rFonts w:hint="eastAsia" w:ascii="Times New Roman" w:hAnsi="Times New Roman"/>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4" w:type="dxa"/>
            <w:shd w:val="clear" w:color="auto" w:fill="auto"/>
            <w:vAlign w:val="center"/>
          </w:tcPr>
          <w:p>
            <w:pPr>
              <w:jc w:val="center"/>
              <w:rPr>
                <w:rFonts w:ascii="Times New Roman" w:hAnsi="Times New Roman"/>
                <w:szCs w:val="21"/>
              </w:rPr>
            </w:pPr>
            <w:r>
              <w:rPr>
                <w:rFonts w:ascii="Times New Roman" w:hAnsi="Times New Roman"/>
                <w:szCs w:val="21"/>
              </w:rPr>
              <w:t>3</w:t>
            </w:r>
          </w:p>
        </w:tc>
        <w:tc>
          <w:tcPr>
            <w:tcW w:w="3452" w:type="dxa"/>
            <w:shd w:val="clear" w:color="auto" w:fill="auto"/>
            <w:vAlign w:val="center"/>
          </w:tcPr>
          <w:p>
            <w:pPr>
              <w:jc w:val="center"/>
              <w:rPr>
                <w:rFonts w:ascii="Times New Roman" w:hAnsi="Times New Roman"/>
                <w:szCs w:val="21"/>
              </w:rPr>
            </w:pPr>
            <w:r>
              <w:rPr>
                <w:rFonts w:hint="eastAsia" w:ascii="Times New Roman" w:hAnsi="Times New Roman"/>
                <w:spacing w:val="-2"/>
                <w:szCs w:val="21"/>
              </w:rPr>
              <w:t>台山市广一皮业有限公司</w:t>
            </w:r>
          </w:p>
        </w:tc>
        <w:tc>
          <w:tcPr>
            <w:tcW w:w="2210"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0.042</w:t>
            </w:r>
          </w:p>
        </w:tc>
        <w:tc>
          <w:tcPr>
            <w:tcW w:w="2026"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0.9048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4" w:type="dxa"/>
            <w:shd w:val="clear" w:color="auto" w:fill="auto"/>
            <w:vAlign w:val="center"/>
          </w:tcPr>
          <w:p>
            <w:pPr>
              <w:jc w:val="center"/>
              <w:rPr>
                <w:rFonts w:ascii="Times New Roman" w:hAnsi="Times New Roman"/>
                <w:szCs w:val="21"/>
              </w:rPr>
            </w:pPr>
            <w:r>
              <w:rPr>
                <w:rFonts w:ascii="Times New Roman" w:hAnsi="Times New Roman"/>
                <w:szCs w:val="21"/>
              </w:rPr>
              <w:t>4</w:t>
            </w:r>
          </w:p>
        </w:tc>
        <w:tc>
          <w:tcPr>
            <w:tcW w:w="3452" w:type="dxa"/>
            <w:shd w:val="clear" w:color="auto" w:fill="auto"/>
            <w:vAlign w:val="center"/>
          </w:tcPr>
          <w:p>
            <w:pPr>
              <w:jc w:val="center"/>
              <w:rPr>
                <w:rFonts w:ascii="Times New Roman" w:hAnsi="Times New Roman"/>
                <w:szCs w:val="21"/>
              </w:rPr>
            </w:pPr>
            <w:r>
              <w:rPr>
                <w:rFonts w:hint="eastAsia" w:ascii="Times New Roman" w:hAnsi="Times New Roman"/>
                <w:spacing w:val="-1"/>
                <w:szCs w:val="21"/>
              </w:rPr>
              <w:t>浩源皮业（台山）有限公司</w:t>
            </w:r>
          </w:p>
        </w:tc>
        <w:tc>
          <w:tcPr>
            <w:tcW w:w="2210"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0.13</w:t>
            </w:r>
          </w:p>
        </w:tc>
        <w:tc>
          <w:tcPr>
            <w:tcW w:w="2026"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4" w:type="dxa"/>
            <w:shd w:val="clear" w:color="auto" w:fill="auto"/>
            <w:vAlign w:val="center"/>
          </w:tcPr>
          <w:p>
            <w:pPr>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5</w:t>
            </w:r>
          </w:p>
        </w:tc>
        <w:tc>
          <w:tcPr>
            <w:tcW w:w="3452" w:type="dxa"/>
            <w:shd w:val="clear" w:color="auto" w:fill="auto"/>
            <w:vAlign w:val="center"/>
          </w:tcPr>
          <w:p>
            <w:pPr>
              <w:jc w:val="center"/>
              <w:rPr>
                <w:rFonts w:hint="default" w:ascii="Times New Roman" w:hAnsi="Times New Roman" w:eastAsia="宋体"/>
                <w:color w:val="000000" w:themeColor="text1"/>
                <w:spacing w:val="-1"/>
                <w:szCs w:val="21"/>
                <w:lang w:val="en-US" w:eastAsia="zh-CN"/>
                <w14:textFill>
                  <w14:solidFill>
                    <w14:schemeClr w14:val="tx1"/>
                  </w14:solidFill>
                </w14:textFill>
              </w:rPr>
            </w:pPr>
            <w:r>
              <w:rPr>
                <w:rFonts w:hint="eastAsia" w:ascii="Times New Roman" w:hAnsi="Times New Roman"/>
                <w:color w:val="000000" w:themeColor="text1"/>
                <w:spacing w:val="-1"/>
                <w:szCs w:val="21"/>
                <w:lang w:val="en-US" w:eastAsia="zh-CN"/>
                <w14:textFill>
                  <w14:solidFill>
                    <w14:schemeClr w14:val="tx1"/>
                  </w14:solidFill>
                </w14:textFill>
              </w:rPr>
              <w:t>大沙污水处理厂</w:t>
            </w:r>
          </w:p>
        </w:tc>
        <w:tc>
          <w:tcPr>
            <w:tcW w:w="2210" w:type="dxa"/>
            <w:shd w:val="clear" w:color="auto" w:fill="auto"/>
            <w:vAlign w:val="center"/>
          </w:tcPr>
          <w:p>
            <w:pPr>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w:t>
            </w:r>
          </w:p>
        </w:tc>
        <w:tc>
          <w:tcPr>
            <w:tcW w:w="2026" w:type="dxa"/>
            <w:shd w:val="clear" w:color="auto" w:fill="auto"/>
            <w:vAlign w:val="center"/>
          </w:tcPr>
          <w:p>
            <w:pPr>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86" w:type="dxa"/>
            <w:gridSpan w:val="2"/>
            <w:shd w:val="clear" w:color="auto" w:fill="auto"/>
            <w:vAlign w:val="center"/>
          </w:tcPr>
          <w:p>
            <w:pPr>
              <w:jc w:val="center"/>
              <w:rPr>
                <w:rFonts w:ascii="Times New Roman" w:hAnsi="Times New Roman"/>
                <w:szCs w:val="21"/>
              </w:rPr>
            </w:pPr>
            <w:r>
              <w:rPr>
                <w:rFonts w:ascii="Times New Roman" w:hAnsi="Times New Roman"/>
                <w:szCs w:val="21"/>
              </w:rPr>
              <w:t>合计</w:t>
            </w:r>
          </w:p>
        </w:tc>
        <w:tc>
          <w:tcPr>
            <w:tcW w:w="2210"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0.172</w:t>
            </w:r>
          </w:p>
        </w:tc>
        <w:tc>
          <w:tcPr>
            <w:tcW w:w="2026" w:type="dxa"/>
            <w:shd w:val="clear" w:color="auto" w:fill="auto"/>
            <w:vAlign w:val="center"/>
          </w:tcPr>
          <w:p>
            <w:pPr>
              <w:jc w:val="center"/>
              <w:rPr>
                <w:rFonts w:hint="default" w:ascii="Times New Roman" w:hAnsi="Times New Roman" w:eastAsia="宋体"/>
                <w:szCs w:val="21"/>
                <w:lang w:val="en-US" w:eastAsia="zh-CN"/>
              </w:rPr>
            </w:pPr>
            <w:r>
              <w:rPr>
                <w:rFonts w:hint="eastAsia" w:ascii="Times New Roman" w:hAnsi="Times New Roman"/>
                <w:szCs w:val="21"/>
                <w:lang w:val="en-US" w:eastAsia="zh-CN"/>
              </w:rPr>
              <w:t>3.2378</w:t>
            </w:r>
          </w:p>
        </w:tc>
      </w:tr>
    </w:tbl>
    <w:p>
      <w:pPr>
        <w:pStyle w:val="15"/>
      </w:pPr>
      <w:bookmarkStart w:id="36" w:name="_Toc97912855"/>
      <w:r>
        <w:rPr>
          <w:rFonts w:hint="eastAsia"/>
        </w:rPr>
        <w:t>3</w:t>
      </w:r>
      <w:r>
        <w:t>.5.</w:t>
      </w:r>
      <w:r>
        <w:rPr>
          <w:rFonts w:hint="eastAsia"/>
          <w:lang w:val="en-US" w:eastAsia="zh-CN"/>
        </w:rPr>
        <w:t>4</w:t>
      </w:r>
      <w:r>
        <w:t>固体废物产生情况</w:t>
      </w:r>
      <w:bookmarkEnd w:id="36"/>
    </w:p>
    <w:p>
      <w:pPr>
        <w:spacing w:line="360" w:lineRule="auto"/>
        <w:ind w:firstLine="480" w:firstLineChars="200"/>
        <w:rPr>
          <w:rFonts w:ascii="Times New Roman" w:hAnsi="Times New Roman"/>
          <w:sz w:val="24"/>
        </w:rPr>
        <w:sectPr>
          <w:pgSz w:w="11906" w:h="16838"/>
          <w:pgMar w:top="1440" w:right="1800" w:bottom="1440" w:left="1800" w:header="851" w:footer="992" w:gutter="0"/>
          <w:cols w:space="720" w:num="1"/>
          <w:docGrid w:type="lines" w:linePitch="312" w:charSpace="0"/>
        </w:sectPr>
      </w:pPr>
      <w:r>
        <w:rPr>
          <w:rFonts w:hint="eastAsia" w:ascii="Times New Roman" w:hAnsi="Times New Roman"/>
          <w:sz w:val="24"/>
        </w:rPr>
        <w:t>园区固体废物包括工业固废、危险废物和生活垃圾。经统计：一般工业固废</w:t>
      </w:r>
      <w:r>
        <w:rPr>
          <w:rFonts w:hint="eastAsia" w:ascii="Times New Roman" w:hAnsi="Times New Roman"/>
          <w:sz w:val="24"/>
          <w:lang w:val="en-US" w:eastAsia="zh-CN"/>
        </w:rPr>
        <w:t>8102.7</w:t>
      </w:r>
      <w:r>
        <w:rPr>
          <w:rFonts w:hint="eastAsia" w:ascii="Times New Roman" w:hAnsi="Times New Roman"/>
          <w:sz w:val="24"/>
        </w:rPr>
        <w:t>t/a，主要是</w:t>
      </w:r>
      <w:r>
        <w:rPr>
          <w:rFonts w:hint="eastAsia" w:ascii="Times New Roman" w:hAnsi="Times New Roman"/>
          <w:sz w:val="24"/>
          <w:lang w:val="en-US" w:eastAsia="zh-CN"/>
        </w:rPr>
        <w:t>一般污泥、碎皮及皮屑</w:t>
      </w:r>
      <w:r>
        <w:rPr>
          <w:rFonts w:hint="eastAsia" w:ascii="Times New Roman" w:hAnsi="Times New Roman"/>
          <w:sz w:val="24"/>
        </w:rPr>
        <w:t>等，一般</w:t>
      </w:r>
      <w:r>
        <w:rPr>
          <w:rFonts w:hint="eastAsia" w:ascii="Times New Roman" w:hAnsi="Times New Roman"/>
          <w:sz w:val="24"/>
          <w:lang w:val="en-US" w:eastAsia="zh-CN"/>
        </w:rPr>
        <w:t>交由相关的单位</w:t>
      </w:r>
      <w:r>
        <w:rPr>
          <w:rFonts w:hint="eastAsia" w:ascii="Times New Roman" w:hAnsi="Times New Roman"/>
          <w:sz w:val="24"/>
        </w:rPr>
        <w:t>综合利用；危险废物</w:t>
      </w:r>
      <w:r>
        <w:rPr>
          <w:rFonts w:hint="eastAsia" w:ascii="Times New Roman" w:hAnsi="Times New Roman"/>
          <w:sz w:val="24"/>
          <w:lang w:val="en-US" w:eastAsia="zh-CN"/>
        </w:rPr>
        <w:t>1520.504</w:t>
      </w:r>
      <w:r>
        <w:rPr>
          <w:rFonts w:hint="eastAsia" w:ascii="Times New Roman" w:hAnsi="Times New Roman"/>
          <w:sz w:val="24"/>
        </w:rPr>
        <w:t>t/a，主要是废物处理设备的废活性炭、设备维修产生的废机油等，均交给有危险废物处理处置资质单位回收处置；生活垃圾主要来源于园区的办公人员生活垃圾、主要为废纸屑、废塑料瓶、玻璃瓶、剩菜、剩饭等，均由环卫部门统一收集。</w:t>
      </w:r>
    </w:p>
    <w:p>
      <w:pPr>
        <w:pStyle w:val="13"/>
      </w:pPr>
      <w:bookmarkStart w:id="37" w:name="_Toc23683"/>
      <w:bookmarkStart w:id="38" w:name="_Toc97912856"/>
      <w:r>
        <w:t>四</w:t>
      </w:r>
      <w:r>
        <w:rPr>
          <w:rFonts w:hint="eastAsia"/>
        </w:rPr>
        <w:t xml:space="preserve"> </w:t>
      </w:r>
      <w:r>
        <w:t>园区环境质量现状分析</w:t>
      </w:r>
      <w:bookmarkEnd w:id="37"/>
      <w:bookmarkEnd w:id="38"/>
    </w:p>
    <w:p>
      <w:pPr>
        <w:pStyle w:val="14"/>
      </w:pPr>
      <w:bookmarkStart w:id="39" w:name="_Toc31880"/>
      <w:bookmarkStart w:id="40" w:name="_Toc97912857"/>
      <w:r>
        <w:rPr>
          <w:rFonts w:hint="eastAsia"/>
        </w:rPr>
        <w:t>4</w:t>
      </w:r>
      <w:r>
        <w:t>.1大气环境质量现状</w:t>
      </w:r>
      <w:bookmarkEnd w:id="39"/>
      <w:bookmarkEnd w:id="40"/>
    </w:p>
    <w:p>
      <w:pPr>
        <w:pStyle w:val="15"/>
      </w:pPr>
      <w:bookmarkStart w:id="41" w:name="_Toc97912858"/>
      <w:r>
        <w:rPr>
          <w:rFonts w:hint="eastAsia"/>
        </w:rPr>
        <w:t>4</w:t>
      </w:r>
      <w:r>
        <w:t>.1.1</w:t>
      </w:r>
      <w:r>
        <w:rPr>
          <w:rFonts w:hint="eastAsia"/>
          <w:lang w:val="en-US" w:eastAsia="zh-CN"/>
        </w:rPr>
        <w:t>区域例行监测资料调查与分析</w:t>
      </w:r>
      <w:bookmarkEnd w:id="41"/>
    </w:p>
    <w:p>
      <w:pPr>
        <w:spacing w:line="360" w:lineRule="auto"/>
        <w:ind w:firstLine="480" w:firstLineChars="200"/>
        <w:rPr>
          <w:rFonts w:hint="eastAsia" w:ascii="Times New Roman" w:hAnsi="Times New Roman"/>
          <w:sz w:val="24"/>
          <w:lang w:val="en-US" w:eastAsia="zh-CN"/>
        </w:rPr>
      </w:pPr>
      <w:r>
        <w:rPr>
          <w:rFonts w:hint="eastAsia" w:ascii="Times New Roman" w:hAnsi="Times New Roman"/>
          <w:sz w:val="24"/>
        </w:rPr>
        <w:t>根据《2021年江门市环境质量状况公报》，台山市的空气质量状况基本情况见表</w:t>
      </w:r>
      <w:r>
        <w:rPr>
          <w:rFonts w:hint="eastAsia" w:ascii="Times New Roman" w:hAnsi="Times New Roman"/>
          <w:sz w:val="24"/>
          <w:lang w:val="en-US" w:eastAsia="zh-CN"/>
        </w:rPr>
        <w:t>4.1-1。</w:t>
      </w:r>
    </w:p>
    <w:p>
      <w:pPr>
        <w:pStyle w:val="70"/>
        <w:ind w:firstLine="0" w:firstLineChars="0"/>
        <w:rPr>
          <w:rFonts w:hint="default" w:eastAsia="宋体"/>
          <w:b/>
          <w:sz w:val="21"/>
          <w:szCs w:val="21"/>
          <w:lang w:val="en-US" w:eastAsia="zh-CN"/>
        </w:rPr>
      </w:pPr>
      <w:r>
        <w:rPr>
          <w:rFonts w:hint="eastAsia" w:eastAsia="宋体"/>
          <w:b/>
          <w:sz w:val="21"/>
          <w:szCs w:val="21"/>
          <w:lang w:val="en-US" w:eastAsia="zh-CN"/>
        </w:rPr>
        <w:t>表4.1-1 2021年台山市空气质量状况</w:t>
      </w:r>
    </w:p>
    <w:tbl>
      <w:tblPr>
        <w:tblStyle w:val="3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4" w:type="dxa"/>
            <w:vAlign w:val="center"/>
          </w:tcPr>
          <w:p>
            <w:pPr>
              <w:jc w:val="center"/>
              <w:rPr>
                <w:rFonts w:hint="default" w:ascii="Times New Roman" w:hAnsi="Times New Roman" w:eastAsia="宋体" w:cs="Times New Roman"/>
                <w:b/>
                <w:bCs/>
                <w:vertAlign w:val="baseline"/>
                <w:lang w:val="en-US" w:eastAsia="zh-CN"/>
              </w:rPr>
            </w:pPr>
            <w:r>
              <w:rPr>
                <w:rFonts w:hint="default" w:ascii="Times New Roman" w:hAnsi="Times New Roman" w:eastAsia="宋体" w:cs="Times New Roman"/>
                <w:b/>
                <w:bCs/>
                <w:vertAlign w:val="baseline"/>
                <w:lang w:val="en-US" w:eastAsia="zh-CN"/>
              </w:rPr>
              <w:t>污染物</w:t>
            </w:r>
          </w:p>
        </w:tc>
        <w:tc>
          <w:tcPr>
            <w:tcW w:w="1704" w:type="dxa"/>
            <w:vAlign w:val="center"/>
          </w:tcPr>
          <w:p>
            <w:pPr>
              <w:jc w:val="center"/>
              <w:rPr>
                <w:rFonts w:hint="default" w:ascii="Times New Roman" w:hAnsi="Times New Roman" w:eastAsia="宋体" w:cs="Times New Roman"/>
                <w:b/>
                <w:bCs/>
                <w:vertAlign w:val="baseline"/>
                <w:lang w:val="en-US" w:eastAsia="zh-CN"/>
              </w:rPr>
            </w:pPr>
            <w:r>
              <w:rPr>
                <w:rFonts w:hint="default" w:ascii="Times New Roman" w:hAnsi="Times New Roman" w:eastAsia="宋体" w:cs="Times New Roman"/>
                <w:b/>
                <w:bCs/>
                <w:vertAlign w:val="baseline"/>
                <w:lang w:val="en-US" w:eastAsia="zh-CN"/>
              </w:rPr>
              <w:t>现状浓度（年均）/（µg/m</w:t>
            </w:r>
            <w:r>
              <w:rPr>
                <w:rFonts w:hint="default" w:ascii="Times New Roman" w:hAnsi="Times New Roman" w:eastAsia="宋体" w:cs="Times New Roman"/>
                <w:b/>
                <w:bCs/>
                <w:vertAlign w:val="superscript"/>
                <w:lang w:val="en-US" w:eastAsia="zh-CN"/>
              </w:rPr>
              <w:t>3</w:t>
            </w:r>
            <w:r>
              <w:rPr>
                <w:rFonts w:hint="default" w:ascii="Times New Roman" w:hAnsi="Times New Roman" w:eastAsia="宋体" w:cs="Times New Roman"/>
                <w:b/>
                <w:bCs/>
                <w:vertAlign w:val="baseline"/>
                <w:lang w:val="en-US" w:eastAsia="zh-CN"/>
              </w:rPr>
              <w:t>）</w:t>
            </w:r>
          </w:p>
        </w:tc>
        <w:tc>
          <w:tcPr>
            <w:tcW w:w="1704" w:type="dxa"/>
            <w:vAlign w:val="center"/>
          </w:tcPr>
          <w:p>
            <w:pPr>
              <w:jc w:val="center"/>
              <w:rPr>
                <w:rFonts w:hint="default"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标准值/（</w:t>
            </w:r>
            <w:r>
              <w:rPr>
                <w:rFonts w:hint="default" w:ascii="Times New Roman" w:hAnsi="Times New Roman" w:eastAsia="宋体" w:cs="Times New Roman"/>
                <w:b/>
                <w:bCs/>
                <w:vertAlign w:val="baseline"/>
                <w:lang w:val="en-US" w:eastAsia="zh-CN"/>
              </w:rPr>
              <w:t>µg/m</w:t>
            </w:r>
            <w:r>
              <w:rPr>
                <w:rFonts w:hint="default" w:ascii="Times New Roman" w:hAnsi="Times New Roman" w:eastAsia="宋体" w:cs="Times New Roman"/>
                <w:b/>
                <w:bCs/>
                <w:vertAlign w:val="superscript"/>
                <w:lang w:val="en-US" w:eastAsia="zh-CN"/>
              </w:rPr>
              <w:t>3</w:t>
            </w:r>
            <w:r>
              <w:rPr>
                <w:rFonts w:hint="eastAsia" w:ascii="Times New Roman" w:hAnsi="Times New Roman" w:cs="Times New Roman"/>
                <w:b/>
                <w:bCs/>
                <w:vertAlign w:val="baseline"/>
                <w:lang w:val="en-US" w:eastAsia="zh-CN"/>
              </w:rPr>
              <w:t>）</w:t>
            </w:r>
          </w:p>
        </w:tc>
        <w:tc>
          <w:tcPr>
            <w:tcW w:w="1705" w:type="dxa"/>
            <w:vAlign w:val="center"/>
          </w:tcPr>
          <w:p>
            <w:pPr>
              <w:jc w:val="center"/>
              <w:rPr>
                <w:rFonts w:hint="default"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占标率/%</w:t>
            </w:r>
          </w:p>
        </w:tc>
        <w:tc>
          <w:tcPr>
            <w:tcW w:w="1705" w:type="dxa"/>
            <w:vAlign w:val="center"/>
          </w:tcPr>
          <w:p>
            <w:pPr>
              <w:jc w:val="center"/>
              <w:rPr>
                <w:rFonts w:hint="default"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4" w:type="dxa"/>
            <w:vAlign w:val="center"/>
          </w:tcPr>
          <w:p>
            <w:pPr>
              <w:jc w:val="center"/>
              <w:rPr>
                <w:rFonts w:hint="default" w:ascii="Times New Roman" w:hAnsi="Times New Roman" w:eastAsia="宋体" w:cs="Times New Roman"/>
                <w:vertAlign w:val="baseline"/>
                <w:lang w:val="en-US" w:eastAsia="zh-CN"/>
              </w:rPr>
            </w:pPr>
            <w:r>
              <w:rPr>
                <w:rFonts w:ascii="Times New Roman" w:hAnsi="Times New Roman" w:eastAsia="Times New Roman" w:cs="Times New Roman"/>
                <w:spacing w:val="-4"/>
                <w:sz w:val="24"/>
                <w:szCs w:val="24"/>
              </w:rPr>
              <w:t>SO</w:t>
            </w:r>
            <w:r>
              <w:rPr>
                <w:rFonts w:ascii="Times New Roman" w:hAnsi="Times New Roman" w:eastAsia="Times New Roman" w:cs="Times New Roman"/>
                <w:spacing w:val="-7"/>
                <w:position w:val="-1"/>
                <w:sz w:val="16"/>
                <w:szCs w:val="16"/>
              </w:rPr>
              <w:t>2</w:t>
            </w:r>
          </w:p>
        </w:tc>
        <w:tc>
          <w:tcPr>
            <w:tcW w:w="1704"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7</w:t>
            </w:r>
          </w:p>
        </w:tc>
        <w:tc>
          <w:tcPr>
            <w:tcW w:w="1704"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60</w:t>
            </w:r>
          </w:p>
        </w:tc>
        <w:tc>
          <w:tcPr>
            <w:tcW w:w="1705"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11.7</w:t>
            </w:r>
          </w:p>
        </w:tc>
        <w:tc>
          <w:tcPr>
            <w:tcW w:w="1705"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4" w:type="dxa"/>
            <w:vAlign w:val="center"/>
          </w:tcPr>
          <w:p>
            <w:pPr>
              <w:jc w:val="center"/>
              <w:rPr>
                <w:rFonts w:hint="default" w:ascii="Times New Roman" w:hAnsi="Times New Roman" w:eastAsia="宋体" w:cs="Times New Roman"/>
                <w:vertAlign w:val="baseline"/>
                <w:lang w:val="en-US" w:eastAsia="zh-CN"/>
              </w:rPr>
            </w:pPr>
            <w:r>
              <w:rPr>
                <w:rFonts w:ascii="Times New Roman" w:hAnsi="Times New Roman" w:eastAsia="Times New Roman" w:cs="Times New Roman"/>
                <w:sz w:val="24"/>
                <w:szCs w:val="24"/>
              </w:rPr>
              <w:t>NO</w:t>
            </w:r>
            <w:r>
              <w:rPr>
                <w:rFonts w:ascii="Times New Roman" w:hAnsi="Times New Roman" w:eastAsia="Times New Roman" w:cs="Times New Roman"/>
                <w:spacing w:val="2"/>
                <w:position w:val="-1"/>
                <w:sz w:val="16"/>
                <w:szCs w:val="16"/>
              </w:rPr>
              <w:t>2</w:t>
            </w:r>
          </w:p>
        </w:tc>
        <w:tc>
          <w:tcPr>
            <w:tcW w:w="1704"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19</w:t>
            </w:r>
          </w:p>
        </w:tc>
        <w:tc>
          <w:tcPr>
            <w:tcW w:w="1704"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40</w:t>
            </w:r>
          </w:p>
        </w:tc>
        <w:tc>
          <w:tcPr>
            <w:tcW w:w="1705"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47.5</w:t>
            </w:r>
          </w:p>
        </w:tc>
        <w:tc>
          <w:tcPr>
            <w:tcW w:w="1705"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4" w:type="dxa"/>
            <w:vAlign w:val="center"/>
          </w:tcPr>
          <w:p>
            <w:pPr>
              <w:jc w:val="center"/>
              <w:rPr>
                <w:rFonts w:hint="default" w:ascii="Times New Roman" w:hAnsi="Times New Roman" w:eastAsia="宋体" w:cs="Times New Roman"/>
                <w:vertAlign w:val="baseline"/>
                <w:lang w:val="en-US" w:eastAsia="zh-CN"/>
              </w:rPr>
            </w:pPr>
            <w:r>
              <w:rPr>
                <w:rFonts w:ascii="Times New Roman" w:hAnsi="Times New Roman" w:eastAsia="Times New Roman" w:cs="Times New Roman"/>
                <w:sz w:val="24"/>
                <w:szCs w:val="24"/>
              </w:rPr>
              <w:t>PM</w:t>
            </w:r>
            <w:r>
              <w:rPr>
                <w:rFonts w:ascii="Times New Roman" w:hAnsi="Times New Roman" w:eastAsia="Times New Roman" w:cs="Times New Roman"/>
                <w:spacing w:val="3"/>
                <w:position w:val="-1"/>
                <w:sz w:val="16"/>
                <w:szCs w:val="16"/>
              </w:rPr>
              <w:t>10</w:t>
            </w:r>
          </w:p>
        </w:tc>
        <w:tc>
          <w:tcPr>
            <w:tcW w:w="1704"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36</w:t>
            </w:r>
          </w:p>
        </w:tc>
        <w:tc>
          <w:tcPr>
            <w:tcW w:w="1704"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70</w:t>
            </w:r>
          </w:p>
        </w:tc>
        <w:tc>
          <w:tcPr>
            <w:tcW w:w="1705"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51.4</w:t>
            </w:r>
          </w:p>
        </w:tc>
        <w:tc>
          <w:tcPr>
            <w:tcW w:w="1705"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4" w:type="dxa"/>
            <w:vAlign w:val="center"/>
          </w:tcPr>
          <w:p>
            <w:pPr>
              <w:jc w:val="center"/>
              <w:rPr>
                <w:rFonts w:hint="default" w:ascii="Times New Roman" w:hAnsi="Times New Roman" w:eastAsia="宋体" w:cs="Times New Roman"/>
                <w:vertAlign w:val="baseline"/>
                <w:lang w:val="en-US" w:eastAsia="zh-CN"/>
              </w:rPr>
            </w:pPr>
            <w:r>
              <w:rPr>
                <w:rFonts w:ascii="Times New Roman" w:hAnsi="Times New Roman" w:eastAsia="Times New Roman" w:cs="Times New Roman"/>
                <w:sz w:val="24"/>
                <w:szCs w:val="24"/>
              </w:rPr>
              <w:t>PM</w:t>
            </w:r>
            <w:r>
              <w:rPr>
                <w:rFonts w:ascii="Times New Roman" w:hAnsi="Times New Roman" w:eastAsia="Times New Roman" w:cs="Times New Roman"/>
                <w:spacing w:val="-1"/>
                <w:position w:val="-1"/>
                <w:sz w:val="16"/>
                <w:szCs w:val="16"/>
              </w:rPr>
              <w:t>2.</w:t>
            </w:r>
            <w:r>
              <w:rPr>
                <w:rFonts w:ascii="Times New Roman" w:hAnsi="Times New Roman" w:eastAsia="Times New Roman" w:cs="Times New Roman"/>
                <w:position w:val="-1"/>
                <w:sz w:val="16"/>
                <w:szCs w:val="16"/>
              </w:rPr>
              <w:t>5</w:t>
            </w:r>
          </w:p>
        </w:tc>
        <w:tc>
          <w:tcPr>
            <w:tcW w:w="1704"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21</w:t>
            </w:r>
          </w:p>
        </w:tc>
        <w:tc>
          <w:tcPr>
            <w:tcW w:w="1704"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35</w:t>
            </w:r>
          </w:p>
        </w:tc>
        <w:tc>
          <w:tcPr>
            <w:tcW w:w="1705"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60</w:t>
            </w:r>
          </w:p>
        </w:tc>
        <w:tc>
          <w:tcPr>
            <w:tcW w:w="1705"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4" w:type="dxa"/>
            <w:vAlign w:val="center"/>
          </w:tcPr>
          <w:p>
            <w:pPr>
              <w:jc w:val="center"/>
              <w:rPr>
                <w:rFonts w:hint="default" w:ascii="Times New Roman" w:hAnsi="Times New Roman" w:eastAsia="宋体" w:cs="Times New Roman"/>
                <w:vertAlign w:val="baseline"/>
                <w:lang w:val="en-US" w:eastAsia="zh-CN"/>
              </w:rPr>
            </w:pPr>
            <w:r>
              <w:rPr>
                <w:rFonts w:ascii="Times New Roman" w:hAnsi="Times New Roman" w:eastAsia="Times New Roman" w:cs="Times New Roman"/>
                <w:spacing w:val="-2"/>
                <w:sz w:val="24"/>
                <w:szCs w:val="24"/>
              </w:rPr>
              <w:t>CO</w:t>
            </w:r>
          </w:p>
        </w:tc>
        <w:tc>
          <w:tcPr>
            <w:tcW w:w="1704"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1000</w:t>
            </w:r>
          </w:p>
        </w:tc>
        <w:tc>
          <w:tcPr>
            <w:tcW w:w="1704"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4000</w:t>
            </w:r>
          </w:p>
        </w:tc>
        <w:tc>
          <w:tcPr>
            <w:tcW w:w="1705"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25.0</w:t>
            </w:r>
          </w:p>
        </w:tc>
        <w:tc>
          <w:tcPr>
            <w:tcW w:w="1705"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4" w:type="dxa"/>
            <w:vAlign w:val="center"/>
          </w:tcPr>
          <w:p>
            <w:pPr>
              <w:jc w:val="center"/>
              <w:rPr>
                <w:rFonts w:hint="default" w:ascii="Times New Roman" w:hAnsi="Times New Roman" w:eastAsia="宋体" w:cs="Times New Roman"/>
                <w:vertAlign w:val="baseline"/>
                <w:lang w:val="en-US" w:eastAsia="zh-CN"/>
              </w:rPr>
            </w:pPr>
            <w:r>
              <w:rPr>
                <w:rFonts w:hint="eastAsia" w:asciiTheme="minorEastAsia" w:hAnsiTheme="minorEastAsia" w:eastAsiaTheme="minorEastAsia" w:cstheme="minorEastAsia"/>
                <w:spacing w:val="-5"/>
                <w:sz w:val="24"/>
                <w:szCs w:val="24"/>
              </w:rPr>
              <w:t>臭氧</w:t>
            </w:r>
          </w:p>
        </w:tc>
        <w:tc>
          <w:tcPr>
            <w:tcW w:w="1704"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132</w:t>
            </w:r>
          </w:p>
        </w:tc>
        <w:tc>
          <w:tcPr>
            <w:tcW w:w="1704"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160</w:t>
            </w:r>
          </w:p>
        </w:tc>
        <w:tc>
          <w:tcPr>
            <w:tcW w:w="1705"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82.5</w:t>
            </w:r>
          </w:p>
        </w:tc>
        <w:tc>
          <w:tcPr>
            <w:tcW w:w="1705"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达标</w:t>
            </w: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sz w:val="24"/>
          <w:lang w:val="en-US" w:eastAsia="zh-CN"/>
        </w:rPr>
      </w:pPr>
      <w:r>
        <w:rPr>
          <w:rFonts w:hint="eastAsia" w:ascii="Times New Roman" w:hAnsi="Times New Roman"/>
          <w:sz w:val="24"/>
          <w:lang w:val="en-US" w:eastAsia="zh-CN"/>
        </w:rPr>
        <w:t>根据《2021年江门市环境质量状况公报》，台山市2021年的空气质量状况达标，本园区区域内空气环境质量良好。</w:t>
      </w:r>
    </w:p>
    <w:p>
      <w:pPr>
        <w:pStyle w:val="14"/>
      </w:pPr>
      <w:bookmarkStart w:id="42" w:name="_Toc977"/>
      <w:bookmarkStart w:id="43" w:name="_Toc97912859"/>
      <w:r>
        <w:rPr>
          <w:rFonts w:hint="eastAsia"/>
        </w:rPr>
        <w:t>4</w:t>
      </w:r>
      <w:r>
        <w:t>.2</w:t>
      </w:r>
      <w:r>
        <w:rPr>
          <w:rFonts w:hint="eastAsia"/>
        </w:rPr>
        <w:t>地表水</w:t>
      </w:r>
      <w:r>
        <w:t>环境质量现状</w:t>
      </w:r>
      <w:bookmarkEnd w:id="42"/>
      <w:bookmarkEnd w:id="43"/>
    </w:p>
    <w:p>
      <w:pPr>
        <w:pStyle w:val="15"/>
        <w:rPr>
          <w:rFonts w:hint="default" w:eastAsia="宋体"/>
          <w:lang w:val="en-US" w:eastAsia="zh-CN"/>
        </w:rPr>
      </w:pPr>
      <w:bookmarkStart w:id="44" w:name="_Toc97912860"/>
      <w:r>
        <w:rPr>
          <w:rFonts w:hint="eastAsia"/>
        </w:rPr>
        <w:t>4</w:t>
      </w:r>
      <w:r>
        <w:t>.2.1</w:t>
      </w:r>
      <w:bookmarkEnd w:id="44"/>
      <w:r>
        <w:rPr>
          <w:rFonts w:hint="eastAsia"/>
          <w:lang w:val="en-US" w:eastAsia="zh-CN"/>
        </w:rPr>
        <w:t>园区近岸海域水质现状调查与评价</w:t>
      </w:r>
    </w:p>
    <w:p>
      <w:pPr>
        <w:spacing w:line="360" w:lineRule="auto"/>
        <w:ind w:firstLine="480" w:firstLineChars="200"/>
        <w:rPr>
          <w:rFonts w:hint="eastAsia" w:ascii="Times New Roman" w:hAnsi="Times New Roman"/>
          <w:sz w:val="24"/>
          <w:lang w:val="en-US" w:eastAsia="zh-CN"/>
        </w:rPr>
      </w:pPr>
      <w:r>
        <w:rPr>
          <w:rFonts w:hint="eastAsia" w:ascii="Times New Roman" w:hAnsi="Times New Roman"/>
          <w:sz w:val="24"/>
          <w:lang w:val="en-US" w:eastAsia="zh-CN"/>
        </w:rPr>
        <w:t>园区企业产生的废水经大沙污水处理厂处理达标后尾水排入广海湾，园区纳污水体为广海湾海域。根据广东省生态厅发布的《2021年广东省近岸海域水质监测信息》可知，广海湾海域常规监测站点有3个，监测点具体情况见下表。</w:t>
      </w:r>
    </w:p>
    <w:p>
      <w:pPr>
        <w:pStyle w:val="70"/>
        <w:ind w:firstLine="0" w:firstLineChars="0"/>
        <w:rPr>
          <w:rFonts w:hint="eastAsia" w:eastAsia="宋体"/>
          <w:b/>
          <w:sz w:val="21"/>
          <w:szCs w:val="21"/>
          <w:lang w:val="en-US" w:eastAsia="zh-CN"/>
        </w:rPr>
      </w:pPr>
      <w:r>
        <w:rPr>
          <w:rFonts w:hint="eastAsia" w:eastAsia="宋体"/>
          <w:b/>
          <w:sz w:val="21"/>
          <w:szCs w:val="21"/>
          <w:lang w:val="en-US" w:eastAsia="zh-CN"/>
        </w:rPr>
        <w:t>表4.2-1常规监测点分布情况表</w:t>
      </w:r>
    </w:p>
    <w:tbl>
      <w:tblPr>
        <w:tblStyle w:val="3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1737"/>
        <w:gridCol w:w="2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30" w:type="dxa"/>
            <w:vAlign w:val="center"/>
          </w:tcPr>
          <w:p>
            <w:pPr>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站点编码</w:t>
            </w:r>
          </w:p>
        </w:tc>
        <w:tc>
          <w:tcPr>
            <w:tcW w:w="2130" w:type="dxa"/>
            <w:vAlign w:val="center"/>
          </w:tcPr>
          <w:p>
            <w:pPr>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经纬度</w:t>
            </w:r>
          </w:p>
        </w:tc>
        <w:tc>
          <w:tcPr>
            <w:tcW w:w="1737" w:type="dxa"/>
            <w:vAlign w:val="center"/>
          </w:tcPr>
          <w:p>
            <w:pPr>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海洋功能区划</w:t>
            </w:r>
          </w:p>
        </w:tc>
        <w:tc>
          <w:tcPr>
            <w:tcW w:w="2525" w:type="dxa"/>
            <w:vAlign w:val="center"/>
          </w:tcPr>
          <w:p>
            <w:pPr>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近岸海域环境功能区划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30" w:type="dxa"/>
            <w:vAlign w:val="center"/>
          </w:tcPr>
          <w:p>
            <w:pPr>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pacing w:val="-4"/>
                <w:sz w:val="21"/>
                <w:szCs w:val="21"/>
              </w:rPr>
              <w:t>GDN10003</w:t>
            </w:r>
          </w:p>
        </w:tc>
        <w:tc>
          <w:tcPr>
            <w:tcW w:w="2130" w:type="dxa"/>
            <w:vAlign w:val="center"/>
          </w:tcPr>
          <w:p>
            <w:pPr>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112.7431E，21.8755N</w:t>
            </w:r>
          </w:p>
        </w:tc>
        <w:tc>
          <w:tcPr>
            <w:tcW w:w="1737" w:type="dxa"/>
            <w:vAlign w:val="center"/>
          </w:tcPr>
          <w:p>
            <w:pPr>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c>
          <w:tcPr>
            <w:tcW w:w="2525" w:type="dxa"/>
            <w:vAlign w:val="center"/>
          </w:tcPr>
          <w:p>
            <w:pPr>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二类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30" w:type="dxa"/>
            <w:vAlign w:val="center"/>
          </w:tcPr>
          <w:p>
            <w:pPr>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rPr>
              <w:t>GDN10005</w:t>
            </w:r>
          </w:p>
        </w:tc>
        <w:tc>
          <w:tcPr>
            <w:tcW w:w="2130" w:type="dxa"/>
            <w:vAlign w:val="center"/>
          </w:tcPr>
          <w:p>
            <w:pPr>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112.8670E，21.8573N</w:t>
            </w:r>
          </w:p>
        </w:tc>
        <w:tc>
          <w:tcPr>
            <w:tcW w:w="1737" w:type="dxa"/>
            <w:vAlign w:val="center"/>
          </w:tcPr>
          <w:p>
            <w:pPr>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二类</w:t>
            </w:r>
          </w:p>
        </w:tc>
        <w:tc>
          <w:tcPr>
            <w:tcW w:w="2525" w:type="dxa"/>
            <w:vAlign w:val="center"/>
          </w:tcPr>
          <w:p>
            <w:pPr>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30" w:type="dxa"/>
            <w:vAlign w:val="center"/>
          </w:tcPr>
          <w:p>
            <w:pPr>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rPr>
              <w:t>GDN10012</w:t>
            </w:r>
          </w:p>
        </w:tc>
        <w:tc>
          <w:tcPr>
            <w:tcW w:w="2130" w:type="dxa"/>
            <w:vAlign w:val="center"/>
          </w:tcPr>
          <w:p>
            <w:pPr>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112.7879E，21.877N</w:t>
            </w:r>
          </w:p>
        </w:tc>
        <w:tc>
          <w:tcPr>
            <w:tcW w:w="1737" w:type="dxa"/>
            <w:vAlign w:val="center"/>
          </w:tcPr>
          <w:p>
            <w:pPr>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二类</w:t>
            </w:r>
          </w:p>
        </w:tc>
        <w:tc>
          <w:tcPr>
            <w:tcW w:w="2525" w:type="dxa"/>
            <w:vAlign w:val="center"/>
          </w:tcPr>
          <w:p>
            <w:pPr>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二类</w:t>
            </w: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eastAsia" w:ascii="Times New Roman" w:hAnsi="Times New Roman"/>
          <w:sz w:val="24"/>
          <w:lang w:val="en-US" w:eastAsia="zh-CN"/>
        </w:rPr>
        <w:sectPr>
          <w:pgSz w:w="11906" w:h="16838"/>
          <w:pgMar w:top="1440" w:right="1800" w:bottom="1440" w:left="1800" w:header="851" w:footer="992" w:gutter="0"/>
          <w:cols w:space="720" w:num="1"/>
          <w:docGrid w:type="lines" w:linePitch="312" w:charSpace="0"/>
        </w:sectPr>
      </w:pPr>
      <w:r>
        <w:rPr>
          <w:rFonts w:hint="eastAsia" w:ascii="Times New Roman" w:hAnsi="Times New Roman"/>
          <w:sz w:val="24"/>
          <w:lang w:val="en-US" w:eastAsia="zh-CN"/>
        </w:rPr>
        <w:t>各监测站点2021年监测结果见表4.2-2所示，采用单因子指数法对水质现状进行评价，评价结果见表4.2-3所示。</w:t>
      </w:r>
    </w:p>
    <w:p>
      <w:pPr>
        <w:pStyle w:val="2"/>
        <w:rPr>
          <w:rFonts w:hint="eastAsia"/>
        </w:rPr>
      </w:pPr>
    </w:p>
    <w:p>
      <w:pPr>
        <w:pStyle w:val="2"/>
        <w:rPr>
          <w:rFonts w:hint="eastAsia" w:ascii="Times New Roman" w:hAnsi="Times New Roman"/>
          <w:sz w:val="24"/>
          <w:lang w:eastAsia="zh-CN"/>
        </w:rPr>
      </w:pPr>
    </w:p>
    <w:p>
      <w:pPr>
        <w:pStyle w:val="14"/>
      </w:pPr>
      <w:bookmarkStart w:id="45" w:name="_Toc8153"/>
      <w:bookmarkStart w:id="46" w:name="_Toc97912861"/>
      <w:r>
        <w:rPr>
          <w:rFonts w:hint="eastAsia"/>
        </w:rPr>
        <w:t>4</w:t>
      </w:r>
      <w:r>
        <w:t>.3</w:t>
      </w:r>
      <w:r>
        <w:rPr>
          <w:rFonts w:hint="eastAsia"/>
          <w:lang w:val="en-US" w:eastAsia="zh-CN"/>
        </w:rPr>
        <w:t>声</w:t>
      </w:r>
      <w:r>
        <w:t>环境质量现状</w:t>
      </w:r>
      <w:bookmarkEnd w:id="45"/>
      <w:bookmarkEnd w:id="46"/>
    </w:p>
    <w:p>
      <w:pPr>
        <w:pStyle w:val="15"/>
      </w:pPr>
      <w:bookmarkStart w:id="47" w:name="_Toc97912862"/>
      <w:r>
        <w:rPr>
          <w:rFonts w:hint="eastAsia"/>
        </w:rPr>
        <w:t>4</w:t>
      </w:r>
      <w:r>
        <w:t>.3.1</w:t>
      </w:r>
      <w:r>
        <w:rPr>
          <w:rFonts w:hint="eastAsia"/>
        </w:rPr>
        <w:t>现状监测结果</w:t>
      </w:r>
      <w:bookmarkEnd w:id="47"/>
    </w:p>
    <w:p>
      <w:pPr>
        <w:pStyle w:val="70"/>
        <w:ind w:firstLine="480"/>
        <w:jc w:val="left"/>
        <w:rPr>
          <w:rFonts w:hint="default" w:eastAsia="宋体"/>
          <w:lang w:val="en-US" w:eastAsia="zh-CN"/>
        </w:rPr>
      </w:pPr>
      <w:r>
        <w:rPr>
          <w:rFonts w:hint="eastAsia" w:eastAsia="宋体"/>
          <w:lang w:val="en-US" w:eastAsia="zh-CN"/>
        </w:rPr>
        <w:t>园区内目前已进驻并正常投产的企业只有四家，并且每个季度台山市环境监测站均对企业进行噪声监督监测。为</w:t>
      </w:r>
      <w:r>
        <w:rPr>
          <w:rFonts w:hint="eastAsia" w:eastAsia="宋体"/>
        </w:rPr>
        <w:t>了解园区</w:t>
      </w:r>
      <w:r>
        <w:rPr>
          <w:rFonts w:hint="eastAsia" w:eastAsia="宋体"/>
          <w:lang w:val="en-US" w:eastAsia="zh-CN"/>
        </w:rPr>
        <w:t>声</w:t>
      </w:r>
      <w:r>
        <w:rPr>
          <w:rFonts w:hint="eastAsia" w:eastAsia="宋体"/>
        </w:rPr>
        <w:t>环境质量状况，</w:t>
      </w:r>
      <w:r>
        <w:rPr>
          <w:rFonts w:hint="eastAsia" w:eastAsia="宋体"/>
          <w:lang w:val="en-US" w:eastAsia="zh-CN"/>
        </w:rPr>
        <w:t>引用台山市广扬皮业有限公司和台山市广一皮业有限公司2021年12月份台山市环境监测站对企业噪声环境的监督监测数据，监测点及监测数据情况如下图所示。</w:t>
      </w:r>
    </w:p>
    <w:p>
      <w:pPr>
        <w:pStyle w:val="70"/>
        <w:ind w:left="0" w:leftChars="0" w:firstLine="0" w:firstLineChars="0"/>
        <w:jc w:val="center"/>
        <w:rPr>
          <w:rFonts w:hint="default" w:eastAsia="宋体"/>
          <w:lang w:val="en-US" w:eastAsia="zh-CN"/>
        </w:rPr>
      </w:pPr>
      <w:r>
        <w:rPr>
          <w:rFonts w:hint="eastAsia" w:eastAsia="宋体"/>
          <w:b/>
          <w:sz w:val="21"/>
          <w:szCs w:val="21"/>
          <w:lang w:val="en-US" w:eastAsia="zh-CN"/>
        </w:rPr>
        <w:t>表4.3-1园区声环境质量监测情况表</w:t>
      </w:r>
    </w:p>
    <w:tbl>
      <w:tblPr>
        <w:tblStyle w:val="3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8"/>
        <w:gridCol w:w="2885"/>
        <w:gridCol w:w="1451"/>
        <w:gridCol w:w="1891"/>
        <w:gridCol w:w="1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8" w:type="dxa"/>
            <w:vAlign w:val="center"/>
          </w:tcPr>
          <w:p>
            <w:pPr>
              <w:jc w:val="center"/>
              <w:rPr>
                <w:rFonts w:hint="default"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序号</w:t>
            </w:r>
          </w:p>
        </w:tc>
        <w:tc>
          <w:tcPr>
            <w:tcW w:w="2885" w:type="dxa"/>
            <w:vAlign w:val="center"/>
          </w:tcPr>
          <w:p>
            <w:pPr>
              <w:jc w:val="center"/>
              <w:rPr>
                <w:rFonts w:hint="default"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监测点位</w:t>
            </w:r>
          </w:p>
        </w:tc>
        <w:tc>
          <w:tcPr>
            <w:tcW w:w="145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监测值（dB）</w:t>
            </w:r>
          </w:p>
        </w:tc>
        <w:tc>
          <w:tcPr>
            <w:tcW w:w="1891" w:type="dxa"/>
            <w:vAlign w:val="center"/>
          </w:tcPr>
          <w:p>
            <w:pPr>
              <w:jc w:val="center"/>
              <w:rPr>
                <w:rFonts w:hint="default"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标准限值（dB）</w:t>
            </w:r>
          </w:p>
        </w:tc>
        <w:tc>
          <w:tcPr>
            <w:tcW w:w="1484" w:type="dxa"/>
            <w:vAlign w:val="center"/>
          </w:tcPr>
          <w:p>
            <w:pPr>
              <w:jc w:val="center"/>
              <w:rPr>
                <w:rFonts w:hint="default"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监测时间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8"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1</w:t>
            </w:r>
          </w:p>
        </w:tc>
        <w:tc>
          <w:tcPr>
            <w:tcW w:w="2885"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南线公路监测点1#</w:t>
            </w:r>
          </w:p>
        </w:tc>
        <w:tc>
          <w:tcPr>
            <w:tcW w:w="1451" w:type="dxa"/>
            <w:vAlign w:val="center"/>
          </w:tcPr>
          <w:p>
            <w:pPr>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54</w:t>
            </w:r>
          </w:p>
        </w:tc>
        <w:tc>
          <w:tcPr>
            <w:tcW w:w="1891" w:type="dxa"/>
            <w:vMerge w:val="restart"/>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65</w:t>
            </w:r>
          </w:p>
        </w:tc>
        <w:tc>
          <w:tcPr>
            <w:tcW w:w="1484" w:type="dxa"/>
            <w:vMerge w:val="restart"/>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2021年12月16日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8"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2</w:t>
            </w:r>
          </w:p>
        </w:tc>
        <w:tc>
          <w:tcPr>
            <w:tcW w:w="2885"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广一皮业厂界西侧监测点2#</w:t>
            </w:r>
          </w:p>
        </w:tc>
        <w:tc>
          <w:tcPr>
            <w:tcW w:w="1451" w:type="dxa"/>
            <w:vAlign w:val="center"/>
          </w:tcPr>
          <w:p>
            <w:pPr>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56</w:t>
            </w:r>
          </w:p>
        </w:tc>
        <w:tc>
          <w:tcPr>
            <w:tcW w:w="1891" w:type="dxa"/>
            <w:vMerge w:val="continue"/>
            <w:vAlign w:val="center"/>
          </w:tcPr>
          <w:p>
            <w:pPr>
              <w:jc w:val="center"/>
              <w:rPr>
                <w:rFonts w:hint="default" w:ascii="Times New Roman" w:hAnsi="Times New Roman" w:eastAsia="宋体" w:cs="Times New Roman"/>
                <w:vertAlign w:val="baseline"/>
                <w:lang w:val="en-US" w:eastAsia="zh-CN"/>
              </w:rPr>
            </w:pPr>
          </w:p>
        </w:tc>
        <w:tc>
          <w:tcPr>
            <w:tcW w:w="1484" w:type="dxa"/>
            <w:vMerge w:val="continue"/>
            <w:vAlign w:val="center"/>
          </w:tcPr>
          <w:p>
            <w:pPr>
              <w:jc w:val="center"/>
              <w:rPr>
                <w:rFonts w:hint="default" w:ascii="Times New Roman" w:hAnsi="Times New Roman" w:eastAsia="宋体"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8"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3</w:t>
            </w:r>
          </w:p>
        </w:tc>
        <w:tc>
          <w:tcPr>
            <w:tcW w:w="2885"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海港路监测点3#</w:t>
            </w:r>
          </w:p>
        </w:tc>
        <w:tc>
          <w:tcPr>
            <w:tcW w:w="1451" w:type="dxa"/>
            <w:vAlign w:val="center"/>
          </w:tcPr>
          <w:p>
            <w:pPr>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61</w:t>
            </w:r>
          </w:p>
        </w:tc>
        <w:tc>
          <w:tcPr>
            <w:tcW w:w="1891" w:type="dxa"/>
            <w:vMerge w:val="continue"/>
            <w:vAlign w:val="center"/>
          </w:tcPr>
          <w:p>
            <w:pPr>
              <w:jc w:val="center"/>
              <w:rPr>
                <w:rFonts w:hint="default" w:ascii="Times New Roman" w:hAnsi="Times New Roman" w:eastAsia="宋体" w:cs="Times New Roman"/>
                <w:vertAlign w:val="baseline"/>
                <w:lang w:val="en-US" w:eastAsia="zh-CN"/>
              </w:rPr>
            </w:pPr>
          </w:p>
        </w:tc>
        <w:tc>
          <w:tcPr>
            <w:tcW w:w="1484" w:type="dxa"/>
            <w:vMerge w:val="continue"/>
            <w:vAlign w:val="center"/>
          </w:tcPr>
          <w:p>
            <w:pPr>
              <w:jc w:val="center"/>
              <w:rPr>
                <w:rFonts w:hint="default" w:ascii="Times New Roman" w:hAnsi="Times New Roman" w:eastAsia="宋体"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8"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2885" w:type="dxa"/>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工业一路监测点4#</w:t>
            </w:r>
          </w:p>
        </w:tc>
        <w:tc>
          <w:tcPr>
            <w:tcW w:w="1451" w:type="dxa"/>
            <w:vAlign w:val="center"/>
          </w:tcPr>
          <w:p>
            <w:pPr>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59</w:t>
            </w:r>
          </w:p>
        </w:tc>
        <w:tc>
          <w:tcPr>
            <w:tcW w:w="1891" w:type="dxa"/>
            <w:vMerge w:val="continue"/>
            <w:vAlign w:val="center"/>
          </w:tcPr>
          <w:p>
            <w:pPr>
              <w:jc w:val="center"/>
              <w:rPr>
                <w:rFonts w:hint="default" w:ascii="Times New Roman" w:hAnsi="Times New Roman" w:eastAsia="宋体" w:cs="Times New Roman"/>
                <w:vertAlign w:val="baseline"/>
                <w:lang w:val="en-US" w:eastAsia="zh-CN"/>
              </w:rPr>
            </w:pPr>
          </w:p>
        </w:tc>
        <w:tc>
          <w:tcPr>
            <w:tcW w:w="1484" w:type="dxa"/>
            <w:vMerge w:val="continue"/>
            <w:vAlign w:val="center"/>
          </w:tcPr>
          <w:p>
            <w:pPr>
              <w:jc w:val="center"/>
              <w:rPr>
                <w:rFonts w:hint="default" w:ascii="Times New Roman" w:hAnsi="Times New Roman" w:eastAsia="宋体" w:cs="Times New Roman"/>
                <w:vertAlign w:val="baseline"/>
                <w:lang w:val="en-US" w:eastAsia="zh-CN"/>
              </w:rPr>
            </w:pPr>
          </w:p>
        </w:tc>
      </w:tr>
    </w:tbl>
    <w:p>
      <w:pPr>
        <w:pStyle w:val="13"/>
      </w:pPr>
      <w:bookmarkStart w:id="48" w:name="_Toc15942"/>
      <w:bookmarkStart w:id="49" w:name="_Toc97912863"/>
      <w:r>
        <w:rPr>
          <w:rFonts w:hint="eastAsia"/>
        </w:rPr>
        <w:t>五 园区环境保护现状管理情况</w:t>
      </w:r>
      <w:bookmarkEnd w:id="48"/>
      <w:bookmarkEnd w:id="49"/>
    </w:p>
    <w:p>
      <w:pPr>
        <w:pStyle w:val="14"/>
      </w:pPr>
      <w:bookmarkStart w:id="50" w:name="_Toc97912864"/>
      <w:bookmarkStart w:id="51" w:name="_Toc13028"/>
      <w:r>
        <w:rPr>
          <w:rFonts w:hint="eastAsia"/>
        </w:rPr>
        <w:t>5</w:t>
      </w:r>
      <w:r>
        <w:t>.1规划环评情况</w:t>
      </w:r>
      <w:bookmarkEnd w:id="50"/>
      <w:bookmarkEnd w:id="51"/>
    </w:p>
    <w:p>
      <w:pPr>
        <w:pStyle w:val="15"/>
      </w:pPr>
      <w:bookmarkStart w:id="52" w:name="_Toc97912865"/>
      <w:r>
        <w:rPr>
          <w:rFonts w:hint="eastAsia"/>
        </w:rPr>
        <w:t>5</w:t>
      </w:r>
      <w:r>
        <w:t>.1.1规划环评开展情况</w:t>
      </w:r>
      <w:bookmarkEnd w:id="52"/>
    </w:p>
    <w:p>
      <w:pPr>
        <w:pStyle w:val="70"/>
        <w:ind w:firstLine="480"/>
        <w:jc w:val="left"/>
        <w:rPr>
          <w:rFonts w:eastAsia="宋体"/>
        </w:rPr>
      </w:pPr>
      <w:r>
        <w:rPr>
          <w:rFonts w:hint="eastAsia" w:eastAsia="宋体"/>
          <w:lang w:eastAsia="zh-CN"/>
        </w:rPr>
        <w:t>为识别大沙工业园区开发活动可能带来的影响，分析园区的环境容量和提出主要的污染物总量控制方案，从环境保护角度论证园区的环境保护方案，提出园区规划方案的环境保护对策和建议，台山市广海镇人民政府于2003年委托华南环境科学研究所进行了《台山市广海镇大沙环保工业区环境影响报告书》的编制工作。该环评报告书已于2004年3月通过了广东省环境保护局组织的会议评审，</w:t>
      </w:r>
      <w:r>
        <w:rPr>
          <w:rFonts w:hint="eastAsia" w:eastAsia="宋体"/>
          <w:lang w:val="en-US" w:eastAsia="zh-CN"/>
        </w:rPr>
        <w:t>并取得审批函</w:t>
      </w:r>
      <w:r>
        <w:rPr>
          <w:rFonts w:ascii="宋体" w:hAnsi="宋体" w:eastAsia="宋体" w:cs="宋体"/>
          <w:spacing w:val="-4"/>
          <w:sz w:val="24"/>
          <w:szCs w:val="24"/>
        </w:rPr>
        <w:t>(粤环函</w:t>
      </w:r>
      <w:r>
        <w:rPr>
          <w:rFonts w:ascii="Times New Roman" w:hAnsi="Times New Roman" w:eastAsia="Times New Roman" w:cs="Times New Roman"/>
          <w:spacing w:val="-4"/>
          <w:sz w:val="24"/>
          <w:szCs w:val="24"/>
        </w:rPr>
        <w:t>[2004]159</w:t>
      </w:r>
      <w:r>
        <w:rPr>
          <w:rFonts w:ascii="宋体" w:hAnsi="宋体" w:eastAsia="宋体" w:cs="宋体"/>
          <w:spacing w:val="-4"/>
          <w:sz w:val="24"/>
          <w:szCs w:val="24"/>
        </w:rPr>
        <w:t>号)</w:t>
      </w:r>
      <w:r>
        <w:rPr>
          <w:rFonts w:hint="eastAsia" w:eastAsia="宋体"/>
        </w:rPr>
        <w:t>。 并于2004年3月通过了广东省环境保护局的审批，取得批复文件（粤环函[2004]159号）。2005年6月，江门市政府将台山市广海镇大沙环保工业区定点为江门市制革行业统一规划统一定点的工业园区（江府函[2005]40号）。自成立</w:t>
      </w:r>
      <w:r>
        <w:rPr>
          <w:rFonts w:hint="eastAsia" w:eastAsia="宋体"/>
          <w:lang w:val="en-US" w:eastAsia="zh-CN"/>
        </w:rPr>
        <w:t>以来</w:t>
      </w:r>
      <w:r>
        <w:rPr>
          <w:rFonts w:hint="eastAsia" w:eastAsia="宋体"/>
        </w:rPr>
        <w:t>，大沙环保工业区在主动适应环保政策的变化中求发展，不断加强环保设施的建设，要求企业进行技术创新、节能减排。2009年8月14日，大沙环保工业区成为2009年度清洁生产与污染减排重点示范项目。</w:t>
      </w:r>
    </w:p>
    <w:p>
      <w:pPr>
        <w:pStyle w:val="70"/>
        <w:ind w:firstLine="480"/>
        <w:jc w:val="left"/>
        <w:rPr>
          <w:rFonts w:eastAsia="宋体"/>
        </w:rPr>
      </w:pPr>
      <w:r>
        <w:rPr>
          <w:rFonts w:hint="eastAsia" w:eastAsia="宋体"/>
          <w:lang w:eastAsia="zh-CN"/>
        </w:rPr>
        <w:t>台山市广海镇大沙环保工业区</w:t>
      </w:r>
      <w:r>
        <w:rPr>
          <w:rFonts w:hint="eastAsia" w:eastAsia="宋体"/>
        </w:rPr>
        <w:t>规划总面积为616.13公顷，分为南组团、北组团、东组团三片，其中南组团面积273.96公顷；北组团面积187.96公顷；东组团面积154.21公顷。</w:t>
      </w:r>
    </w:p>
    <w:p>
      <w:pPr>
        <w:pStyle w:val="70"/>
        <w:ind w:firstLine="480"/>
        <w:jc w:val="left"/>
        <w:rPr>
          <w:rFonts w:eastAsia="宋体"/>
        </w:rPr>
      </w:pPr>
      <w:r>
        <w:rPr>
          <w:rFonts w:hint="eastAsia" w:eastAsia="宋体"/>
          <w:lang w:eastAsia="zh-CN"/>
        </w:rPr>
        <w:t>大沙工业区规划开发面积5000亩，分三期开发。首期开发1050亩，二期开发1950亩，三期开发2000亩。目前已开发第一期1050亩。园区产业发展主要为皮革加工生产和以皮革为原料的制衣、制鞋及皮具等项目。园区已入驻4家企业，均为皮革加工生产的企业，与本园区的产业发展规划均相符</w:t>
      </w:r>
      <w:r>
        <w:rPr>
          <w:rFonts w:hint="eastAsia" w:eastAsia="宋体"/>
        </w:rPr>
        <w:t>。</w:t>
      </w:r>
    </w:p>
    <w:p>
      <w:pPr>
        <w:pStyle w:val="15"/>
      </w:pPr>
      <w:bookmarkStart w:id="53" w:name="_Toc97912866"/>
      <w:r>
        <w:rPr>
          <w:rFonts w:hint="eastAsia"/>
        </w:rPr>
        <w:t>5</w:t>
      </w:r>
      <w:r>
        <w:t>.1.2规划环评要求落实情况</w:t>
      </w:r>
      <w:bookmarkEnd w:id="53"/>
    </w:p>
    <w:p>
      <w:pPr>
        <w:pStyle w:val="70"/>
        <w:ind w:firstLine="480"/>
        <w:jc w:val="left"/>
        <w:rPr>
          <w:rFonts w:hint="eastAsia" w:eastAsia="宋体"/>
        </w:rPr>
      </w:pPr>
      <w:r>
        <w:rPr>
          <w:rFonts w:hint="eastAsia" w:eastAsia="宋体"/>
          <w:b/>
          <w:bCs/>
        </w:rPr>
        <w:t>《台山市广海镇大沙环保工业区环境影响报告书》及其批复文件(粤环函 [2004]159号)对工业区的开发建设提出的要求主要如下：</w:t>
      </w:r>
    </w:p>
    <w:p>
      <w:pPr>
        <w:pStyle w:val="70"/>
        <w:ind w:firstLine="480"/>
        <w:jc w:val="left"/>
        <w:rPr>
          <w:rFonts w:hint="eastAsia" w:eastAsia="宋体"/>
        </w:rPr>
      </w:pPr>
      <w:r>
        <w:rPr>
          <w:rFonts w:hint="eastAsia" w:eastAsia="宋体"/>
          <w:lang w:eastAsia="zh-CN"/>
        </w:rPr>
        <w:t>（</w:t>
      </w:r>
      <w:r>
        <w:rPr>
          <w:rFonts w:hint="eastAsia" w:eastAsia="宋体"/>
          <w:lang w:val="en-US" w:eastAsia="zh-CN"/>
        </w:rPr>
        <w:t>1</w:t>
      </w:r>
      <w:r>
        <w:rPr>
          <w:rFonts w:hint="eastAsia" w:eastAsia="宋体"/>
          <w:lang w:eastAsia="zh-CN"/>
        </w:rPr>
        <w:t>）</w:t>
      </w:r>
      <w:r>
        <w:rPr>
          <w:rFonts w:hint="eastAsia" w:eastAsia="宋体"/>
        </w:rPr>
        <w:t>根据报告书的评价结论和声环境技术中心的评估意见，原广东省环境 保护局暂同意工业区首期的建设，日排水量严格控制在4000吨以内。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2）工业区宜发展皮革后加工项目，严格控制入区的制革项目。凡违反国家产业政策、不符合规划和清洁生产要求的项目，一律不得进入。具体项目应采用选进生产工艺和设备，提高资源利用率，并采取有效的节能、节水措施，最大 限度地减少污染物的产生量和排放量。</w:t>
      </w:r>
    </w:p>
    <w:p>
      <w:pPr>
        <w:pStyle w:val="70"/>
        <w:ind w:firstLine="480"/>
        <w:jc w:val="left"/>
        <w:rPr>
          <w:rFonts w:hint="eastAsia" w:eastAsia="宋体"/>
        </w:rPr>
      </w:pPr>
      <w:r>
        <w:rPr>
          <w:rFonts w:hint="eastAsia" w:eastAsia="宋体"/>
          <w:lang w:eastAsia="zh-CN"/>
        </w:rPr>
        <w:t>（</w:t>
      </w:r>
      <w:r>
        <w:rPr>
          <w:rFonts w:hint="eastAsia" w:eastAsia="宋体"/>
          <w:lang w:val="en-US" w:eastAsia="zh-CN"/>
        </w:rPr>
        <w:t>3</w:t>
      </w:r>
      <w:r>
        <w:rPr>
          <w:rFonts w:hint="eastAsia" w:eastAsia="宋体"/>
          <w:lang w:eastAsia="zh-CN"/>
        </w:rPr>
        <w:t>）</w:t>
      </w:r>
      <w:r>
        <w:rPr>
          <w:rFonts w:hint="eastAsia" w:eastAsia="宋体"/>
        </w:rPr>
        <w:t>按清污分流的原则，优化设置排水系统。工业区内生产废水和生活污水实行集中处理，统一排放，其中含铬等第一类污染物废水须在企业车间岀口单 独处理达标。排污口离岸设置，同意采用报告书推荐的南湾码头离岸500米的废 水排放方案。污水处理厂设置足够容积的缓冲池，处理达标的废水先进入氧化塘 再外排，并安装在线监测装置。废水排放标准执行广东省《水污染物排放限值》(DB44/26-2001)第二时段一级标准，其中含铬等第一类污染物废水须在车间岀口单独处理达标。</w:t>
      </w:r>
    </w:p>
    <w:p>
      <w:pPr>
        <w:pStyle w:val="70"/>
        <w:ind w:firstLine="480"/>
        <w:jc w:val="left"/>
        <w:rPr>
          <w:rFonts w:hint="eastAsia" w:eastAsia="宋体"/>
        </w:rPr>
      </w:pPr>
      <w:r>
        <w:rPr>
          <w:rFonts w:hint="eastAsia" w:eastAsia="宋体"/>
          <w:lang w:eastAsia="zh-CN"/>
        </w:rPr>
        <w:t>（</w:t>
      </w:r>
      <w:r>
        <w:rPr>
          <w:rFonts w:hint="eastAsia" w:eastAsia="宋体"/>
          <w:lang w:val="en-US" w:eastAsia="zh-CN"/>
        </w:rPr>
        <w:t>4</w:t>
      </w:r>
      <w:r>
        <w:rPr>
          <w:rFonts w:hint="eastAsia" w:eastAsia="宋体"/>
          <w:lang w:eastAsia="zh-CN"/>
        </w:rPr>
        <w:t>）</w:t>
      </w:r>
      <w:r>
        <w:rPr>
          <w:rFonts w:hint="eastAsia" w:eastAsia="宋体"/>
        </w:rPr>
        <w:t>园区应尽可能实行集中供热，区内企业应配套有效的处理设施对生产 过程产生的工艺废气、锅炉废气、恶臭、食堂油烟等进行处理，确保达标排放。 恶臭排放应符合《恶臭污染物排放标准》 (GB14554-93) 要求，食堂油烟排放参 照《饮食业油烟排放标准(试行)》(GB18483-2001)执行，其他废气排放应符合广东省《大气污染物排放限值》(DB44/27-2001)二类控制区第二时段限值要求。60 吨/时燃油蒸汽锅炉燃油含硫量应控制在0.8%以下，并采取有效的脱硫设施，安装在线监测装置，烟囱的高度应不低于45米。</w:t>
      </w:r>
    </w:p>
    <w:p>
      <w:pPr>
        <w:pStyle w:val="70"/>
        <w:ind w:firstLine="480"/>
        <w:jc w:val="left"/>
        <w:rPr>
          <w:rFonts w:hint="eastAsia" w:eastAsia="宋体"/>
        </w:rPr>
      </w:pP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5</w:t>
      </w:r>
      <w:r>
        <w:rPr>
          <w:rFonts w:hint="default" w:ascii="Times New Roman" w:hAnsi="Times New Roman" w:eastAsia="宋体" w:cs="Times New Roman"/>
          <w:lang w:eastAsia="zh-CN"/>
        </w:rPr>
        <w:t>）</w:t>
      </w:r>
      <w:r>
        <w:rPr>
          <w:rFonts w:hint="eastAsia" w:eastAsia="宋体"/>
        </w:rPr>
        <w:t>入区项目应选用低噪声设备，并采取有效消声降噪措施，确保厂界噪 声符合《工业企业厂界噪声标准》 (GB12348－90)Ⅲ类标准。合理安排施工时 间，避免噪声扰民，施工噪声执行《建筑施工场界噪声限值》(GB12523－90)。</w:t>
      </w:r>
    </w:p>
    <w:p>
      <w:pPr>
        <w:pStyle w:val="70"/>
        <w:ind w:firstLine="480"/>
        <w:jc w:val="left"/>
        <w:rPr>
          <w:rFonts w:hint="eastAsia" w:eastAsia="宋体"/>
        </w:rPr>
      </w:pPr>
      <w:r>
        <w:rPr>
          <w:rFonts w:hint="eastAsia" w:eastAsia="宋体"/>
          <w:lang w:eastAsia="zh-CN"/>
        </w:rPr>
        <w:t>（</w:t>
      </w:r>
      <w:r>
        <w:rPr>
          <w:rFonts w:hint="eastAsia" w:eastAsia="宋体"/>
          <w:lang w:val="en-US" w:eastAsia="zh-CN"/>
        </w:rPr>
        <w:t>6</w:t>
      </w:r>
      <w:r>
        <w:rPr>
          <w:rFonts w:hint="eastAsia" w:eastAsia="宋体"/>
          <w:lang w:eastAsia="zh-CN"/>
        </w:rPr>
        <w:t>）</w:t>
      </w:r>
      <w:r>
        <w:rPr>
          <w:rFonts w:hint="eastAsia" w:eastAsia="宋体"/>
        </w:rPr>
        <w:t>工业区入驻企业产生的固体废物应立足于综合利用，并落实固体废物的处理处置措施，防止造成二次污染。应对施工中产生的建筑废料和生产过程产 生的废皮碎等应进行综合利用，铬鞣废液、含铬废渣和污水处理产生的含铬污泥 等危险废物应交有资质的单位处理处置。</w:t>
      </w:r>
    </w:p>
    <w:p>
      <w:pPr>
        <w:pStyle w:val="70"/>
        <w:ind w:firstLine="480"/>
        <w:jc w:val="left"/>
        <w:rPr>
          <w:rFonts w:hint="eastAsia" w:eastAsia="宋体"/>
        </w:rPr>
      </w:pPr>
      <w:r>
        <w:rPr>
          <w:rFonts w:hint="eastAsia" w:eastAsia="宋体"/>
          <w:lang w:eastAsia="zh-CN"/>
        </w:rPr>
        <w:t>（</w:t>
      </w:r>
      <w:r>
        <w:rPr>
          <w:rFonts w:hint="eastAsia" w:eastAsia="宋体"/>
          <w:lang w:val="en-US" w:eastAsia="zh-CN"/>
        </w:rPr>
        <w:t>7</w:t>
      </w:r>
      <w:r>
        <w:rPr>
          <w:rFonts w:hint="eastAsia" w:eastAsia="宋体"/>
          <w:lang w:eastAsia="zh-CN"/>
        </w:rPr>
        <w:t>）</w:t>
      </w:r>
      <w:r>
        <w:rPr>
          <w:rFonts w:hint="eastAsia" w:eastAsia="宋体"/>
        </w:rPr>
        <w:t>落实工业区生态保护和生态建设方案，防止对周围海域生态环境和渔 业资源造成不利影响。在工业区南边滩涂建设红树林带，并加强工业区的绿化、 美化工作，其绿化率应达到 30％以上，建设绿化隔离带，设置不小于500米的卫生防护距离。工业区污水处理厂应设置不小于300米的卫生防护距离。</w:t>
      </w:r>
    </w:p>
    <w:p>
      <w:pPr>
        <w:pStyle w:val="70"/>
        <w:ind w:firstLine="480"/>
        <w:jc w:val="left"/>
        <w:rPr>
          <w:rFonts w:hint="eastAsia" w:eastAsia="宋体"/>
        </w:rPr>
      </w:pPr>
      <w:r>
        <w:rPr>
          <w:rFonts w:hint="eastAsia" w:eastAsia="宋体"/>
          <w:lang w:eastAsia="zh-CN"/>
        </w:rPr>
        <w:t>（</w:t>
      </w:r>
      <w:r>
        <w:rPr>
          <w:rFonts w:hint="eastAsia" w:eastAsia="宋体"/>
          <w:lang w:val="en-US" w:eastAsia="zh-CN"/>
        </w:rPr>
        <w:t>8</w:t>
      </w:r>
      <w:r>
        <w:rPr>
          <w:rFonts w:hint="eastAsia" w:eastAsia="宋体"/>
          <w:lang w:eastAsia="zh-CN"/>
        </w:rPr>
        <w:t>）</w:t>
      </w:r>
      <w:r>
        <w:rPr>
          <w:rFonts w:hint="eastAsia" w:eastAsia="宋体"/>
        </w:rPr>
        <w:t>生产经营过程中必须严格管理，保证废水、废气、噪声等环保设施正常运行，杜绝事故发生，避免对周围环境造成污染。建立工业区环境监控和管理 体系，加强对工业区环境现状监测和附近海域水质、水生生态环境的监测，适时开展工业区环境影响后评估工作，及时解决建设过程中可能出现的环境问题。</w:t>
      </w:r>
    </w:p>
    <w:p>
      <w:pPr>
        <w:pStyle w:val="70"/>
        <w:ind w:firstLine="480"/>
        <w:jc w:val="left"/>
        <w:rPr>
          <w:rFonts w:hint="eastAsia" w:eastAsia="宋体"/>
        </w:rPr>
      </w:pPr>
      <w:r>
        <w:rPr>
          <w:rFonts w:hint="eastAsia" w:eastAsia="宋体"/>
          <w:lang w:eastAsia="zh-CN"/>
        </w:rPr>
        <w:t>（</w:t>
      </w:r>
      <w:r>
        <w:rPr>
          <w:rFonts w:hint="eastAsia" w:eastAsia="宋体"/>
          <w:lang w:val="en-US" w:eastAsia="zh-CN"/>
        </w:rPr>
        <w:t>9</w:t>
      </w:r>
      <w:r>
        <w:rPr>
          <w:rFonts w:hint="eastAsia" w:eastAsia="宋体"/>
          <w:lang w:eastAsia="zh-CN"/>
        </w:rPr>
        <w:t>）</w:t>
      </w:r>
      <w:r>
        <w:rPr>
          <w:rFonts w:hint="eastAsia" w:eastAsia="宋体"/>
        </w:rPr>
        <w:t>落实施工期环境保护措施，做好施工期环境保护工作。</w:t>
      </w:r>
    </w:p>
    <w:p>
      <w:pPr>
        <w:pStyle w:val="70"/>
        <w:ind w:firstLine="480"/>
        <w:jc w:val="left"/>
        <w:rPr>
          <w:rFonts w:hint="default" w:eastAsia="宋体"/>
          <w:lang w:val="en-US" w:eastAsia="zh-CN"/>
        </w:rPr>
      </w:pPr>
      <w:r>
        <w:rPr>
          <w:rFonts w:hint="eastAsia" w:eastAsia="宋体"/>
          <w:b/>
          <w:bCs/>
          <w:lang w:val="en-US" w:eastAsia="zh-CN"/>
        </w:rPr>
        <w:t>园区按照规划落实情况：</w:t>
      </w:r>
    </w:p>
    <w:p>
      <w:pPr>
        <w:pStyle w:val="70"/>
        <w:ind w:firstLine="480"/>
        <w:jc w:val="left"/>
        <w:rPr>
          <w:rFonts w:hint="eastAsia" w:eastAsia="宋体"/>
          <w:lang w:val="en-US" w:eastAsia="zh-CN"/>
        </w:rPr>
      </w:pPr>
      <w:r>
        <w:rPr>
          <w:rFonts w:hint="eastAsia" w:eastAsia="宋体"/>
        </w:rPr>
        <w:t>自20</w:t>
      </w:r>
      <w:r>
        <w:rPr>
          <w:rFonts w:hint="eastAsia" w:eastAsia="宋体"/>
          <w:lang w:val="en-US" w:eastAsia="zh-CN"/>
        </w:rPr>
        <w:t>04</w:t>
      </w:r>
      <w:r>
        <w:rPr>
          <w:rFonts w:hint="eastAsia" w:eastAsia="宋体"/>
        </w:rPr>
        <w:t>年取得规划环评审查意见以来，台山园区的规划未进行调整及修编。</w:t>
      </w:r>
      <w:r>
        <w:rPr>
          <w:rFonts w:hint="eastAsia" w:eastAsia="宋体"/>
          <w:lang w:val="en-US" w:eastAsia="zh-CN"/>
        </w:rPr>
        <w:t>园区目前进驻的四家企业，均为皮革加工项目，企业产生的生产废水经自建的污水处理站处理达标后，含铬第一类污染物废水在车间岀口单独处理达标排放，其他综合废水处理后再排入园区配套的大沙污水处理厂进行深度处理后达标排放，尾水最终排入广海湾。园区内有已建成的大沙污水处理厂，位于台山市广海镇大沙环保工业区内的西北部，占地面积100亩，分2期建设，首期工程项目设计处理能力为4000吨/天。</w:t>
      </w:r>
    </w:p>
    <w:p>
      <w:pPr>
        <w:pStyle w:val="70"/>
        <w:ind w:firstLine="480"/>
        <w:jc w:val="left"/>
        <w:rPr>
          <w:rFonts w:hint="default" w:eastAsia="宋体"/>
          <w:lang w:val="en-US" w:eastAsia="zh-CN"/>
        </w:rPr>
      </w:pPr>
      <w:r>
        <w:rPr>
          <w:rFonts w:hint="eastAsia" w:eastAsia="宋体"/>
          <w:lang w:val="en-US" w:eastAsia="zh-CN"/>
        </w:rPr>
        <w:t>园区已进行集中供热，园区企业的废气、废水及噪声环保措施正常运行，及时进行维护，杜绝事故发生，避免对周围环境造成污染。</w:t>
      </w:r>
    </w:p>
    <w:p>
      <w:pPr>
        <w:pStyle w:val="70"/>
        <w:ind w:firstLine="480"/>
        <w:jc w:val="left"/>
        <w:rPr>
          <w:rFonts w:eastAsia="宋体"/>
        </w:rPr>
      </w:pPr>
      <w:r>
        <w:rPr>
          <w:rFonts w:hint="eastAsia" w:eastAsia="宋体"/>
        </w:rPr>
        <w:t>通过逐条比对《关于</w:t>
      </w:r>
      <w:r>
        <w:rPr>
          <w:rFonts w:hint="eastAsia" w:eastAsia="宋体"/>
          <w:lang w:eastAsia="zh-CN"/>
        </w:rPr>
        <w:t>台山市广海镇大沙环保工业区</w:t>
      </w:r>
      <w:r>
        <w:rPr>
          <w:rFonts w:hint="eastAsia" w:eastAsia="宋体"/>
        </w:rPr>
        <w:t>环境影响报告书</w:t>
      </w:r>
      <w:r>
        <w:rPr>
          <w:rFonts w:hint="eastAsia" w:eastAsia="宋体"/>
          <w:lang w:val="en-US" w:eastAsia="zh-CN"/>
        </w:rPr>
        <w:t>及</w:t>
      </w:r>
      <w:r>
        <w:rPr>
          <w:rFonts w:hint="eastAsia" w:eastAsia="宋体"/>
        </w:rPr>
        <w:t>审查意见的函》（粤环函 [2004]159号）中所提出各项要求与园区开发建设实际情况可知，</w:t>
      </w:r>
      <w:r>
        <w:rPr>
          <w:rFonts w:hint="eastAsia" w:eastAsia="宋体"/>
          <w:lang w:val="en-US" w:eastAsia="zh-CN"/>
        </w:rPr>
        <w:t>本</w:t>
      </w:r>
      <w:r>
        <w:rPr>
          <w:rFonts w:hint="eastAsia" w:eastAsia="宋体"/>
        </w:rPr>
        <w:t>园区开发建设期内基本落实了原规划环评审查意见的各项要求。</w:t>
      </w:r>
    </w:p>
    <w:p>
      <w:pPr>
        <w:pStyle w:val="14"/>
      </w:pPr>
      <w:bookmarkStart w:id="54" w:name="_Toc97912867"/>
      <w:bookmarkStart w:id="55" w:name="_Toc12038"/>
      <w:r>
        <w:rPr>
          <w:rFonts w:hint="eastAsia"/>
        </w:rPr>
        <w:t>5</w:t>
      </w:r>
      <w:r>
        <w:t>.2企业环保监督监管情况</w:t>
      </w:r>
      <w:bookmarkEnd w:id="54"/>
      <w:bookmarkEnd w:id="55"/>
    </w:p>
    <w:p>
      <w:pPr>
        <w:pStyle w:val="70"/>
        <w:ind w:firstLine="480"/>
        <w:jc w:val="left"/>
        <w:rPr>
          <w:rFonts w:eastAsia="宋体"/>
        </w:rPr>
      </w:pPr>
      <w:r>
        <w:rPr>
          <w:rFonts w:hint="eastAsia" w:eastAsia="宋体"/>
        </w:rPr>
        <w:t>为提高企业对环保政策的了解，园区组织企业</w:t>
      </w:r>
      <w:r>
        <w:rPr>
          <w:rFonts w:hint="eastAsia" w:eastAsia="宋体"/>
          <w:lang w:val="en-US" w:eastAsia="zh-CN"/>
        </w:rPr>
        <w:t>定期</w:t>
      </w:r>
      <w:r>
        <w:rPr>
          <w:rFonts w:hint="eastAsia" w:eastAsia="宋体"/>
        </w:rPr>
        <w:t>开展园区环保政策的主题讲座，并且针对危险废物规范化管理进行培训，提高企业对危险废物规范化管理意识。</w:t>
      </w:r>
    </w:p>
    <w:p>
      <w:pPr>
        <w:pStyle w:val="70"/>
        <w:ind w:firstLine="480"/>
        <w:jc w:val="left"/>
        <w:rPr>
          <w:rFonts w:eastAsia="宋体"/>
        </w:rPr>
      </w:pPr>
      <w:r>
        <w:rPr>
          <w:rFonts w:eastAsia="宋体"/>
        </w:rPr>
        <w:t>园区</w:t>
      </w:r>
      <w:r>
        <w:rPr>
          <w:rFonts w:hint="eastAsia" w:eastAsia="宋体"/>
          <w:lang w:val="en-US" w:eastAsia="zh-CN"/>
        </w:rPr>
        <w:t>对</w:t>
      </w:r>
      <w:r>
        <w:rPr>
          <w:rFonts w:eastAsia="宋体"/>
        </w:rPr>
        <w:t>企业定期检查</w:t>
      </w:r>
      <w:r>
        <w:rPr>
          <w:rFonts w:hint="eastAsia" w:eastAsia="宋体"/>
        </w:rPr>
        <w:t>环保手续办理情况、废气废水治理设施设置合法合规性及运行排放情况、危险废物的贮存和去向（固废合同的签订）情况等，做到“一企一档”。做到了环保监管底数清、问题明，切实做好企业环保问题整改工作。</w:t>
      </w:r>
    </w:p>
    <w:p>
      <w:pPr>
        <w:pStyle w:val="70"/>
        <w:ind w:firstLine="480"/>
        <w:jc w:val="left"/>
        <w:rPr>
          <w:rFonts w:eastAsia="宋体"/>
        </w:rPr>
      </w:pPr>
      <w:r>
        <w:rPr>
          <w:rFonts w:hint="eastAsia" w:eastAsia="宋体"/>
        </w:rPr>
        <w:t>加大辖区内重点排污单位的监督检查，采取定期或不定期组织暗查的方式，对重点排污单位污染源防治设施的运行情况、在线监控设施安装联网运行情况、污染物排放达标情况进行突击检查，以高压的环保态势倒逼企业守法排污。对违法排污、偷排漏排、屡查屡犯的企业，依法从重从严处理。</w:t>
      </w:r>
    </w:p>
    <w:p>
      <w:pPr>
        <w:pStyle w:val="70"/>
        <w:ind w:firstLine="480"/>
        <w:jc w:val="left"/>
        <w:rPr>
          <w:rFonts w:eastAsia="宋体"/>
        </w:rPr>
      </w:pPr>
      <w:r>
        <w:rPr>
          <w:rFonts w:eastAsia="宋体"/>
        </w:rPr>
        <w:t>2021</w:t>
      </w:r>
      <w:r>
        <w:rPr>
          <w:rFonts w:hint="eastAsia" w:eastAsia="宋体"/>
        </w:rPr>
        <w:t>年，园区内无环保违法行为，无环保督察交办案件，也未收到群众对园区及入园企业的环保投诉。</w:t>
      </w:r>
    </w:p>
    <w:p>
      <w:pPr>
        <w:pStyle w:val="14"/>
      </w:pPr>
      <w:bookmarkStart w:id="56" w:name="_Toc97912868"/>
      <w:bookmarkStart w:id="57" w:name="_Toc3996"/>
      <w:r>
        <w:rPr>
          <w:rFonts w:hint="eastAsia"/>
        </w:rPr>
        <w:t>5</w:t>
      </w:r>
      <w:r>
        <w:t>.3园区</w:t>
      </w:r>
      <w:r>
        <w:rPr>
          <w:rFonts w:hint="eastAsia"/>
        </w:rPr>
        <w:t>环境风险防控措施落实</w:t>
      </w:r>
      <w:r>
        <w:t>情况</w:t>
      </w:r>
      <w:bookmarkEnd w:id="56"/>
      <w:bookmarkEnd w:id="57"/>
    </w:p>
    <w:p>
      <w:pPr>
        <w:pStyle w:val="70"/>
        <w:ind w:firstLine="480"/>
        <w:jc w:val="left"/>
        <w:rPr>
          <w:rFonts w:eastAsia="宋体"/>
        </w:rPr>
      </w:pPr>
      <w:r>
        <w:rPr>
          <w:rFonts w:hint="eastAsia" w:eastAsia="宋体"/>
        </w:rPr>
        <w:t>建设环境风险防控设施，构建企业、园区和生态环境部门三级环境风险防控联动体系，增强园区风险防控能力，开展环境风险预警预报。产生恶臭污染物的行业应当科学选址，设置合理的防护距离，并安装净化装置或者采取其他措施，防止排放恶臭污染物。企业事故应急池</w:t>
      </w:r>
      <w:r>
        <w:rPr>
          <w:rFonts w:hint="eastAsia" w:eastAsia="宋体"/>
          <w:lang w:val="en-US" w:eastAsia="zh-CN"/>
        </w:rPr>
        <w:t>及应急阀门</w:t>
      </w:r>
      <w:r>
        <w:rPr>
          <w:rFonts w:hint="eastAsia" w:eastAsia="宋体"/>
        </w:rPr>
        <w:t>应</w:t>
      </w:r>
      <w:r>
        <w:rPr>
          <w:rFonts w:hint="eastAsia" w:eastAsia="宋体"/>
          <w:lang w:val="en-US" w:eastAsia="zh-CN"/>
        </w:rPr>
        <w:t>定期维护</w:t>
      </w:r>
      <w:r>
        <w:rPr>
          <w:rFonts w:hint="eastAsia" w:eastAsia="宋体"/>
        </w:rPr>
        <w:t>，并合理建设隔离带和绿化防护带。加强应急保障能力建设，企业</w:t>
      </w:r>
      <w:r>
        <w:rPr>
          <w:rFonts w:hint="eastAsia" w:eastAsia="宋体"/>
          <w:lang w:val="en-US" w:eastAsia="zh-CN"/>
        </w:rPr>
        <w:t>2022年已</w:t>
      </w:r>
      <w:r>
        <w:rPr>
          <w:rFonts w:hint="eastAsia" w:eastAsia="宋体"/>
        </w:rPr>
        <w:t>应按照相关规定</w:t>
      </w:r>
      <w:r>
        <w:rPr>
          <w:rFonts w:hint="eastAsia" w:eastAsia="宋体"/>
          <w:lang w:val="en-US" w:eastAsia="zh-CN"/>
        </w:rPr>
        <w:t>针对</w:t>
      </w:r>
      <w:r>
        <w:rPr>
          <w:rFonts w:hint="eastAsia" w:eastAsia="宋体"/>
        </w:rPr>
        <w:t>突发环境事件应急预案</w:t>
      </w:r>
      <w:r>
        <w:rPr>
          <w:rFonts w:hint="eastAsia" w:eastAsia="宋体"/>
          <w:lang w:val="en-US" w:eastAsia="zh-CN"/>
        </w:rPr>
        <w:t>完成修编工作</w:t>
      </w:r>
      <w:r>
        <w:rPr>
          <w:rFonts w:hint="eastAsia" w:eastAsia="宋体"/>
        </w:rPr>
        <w:t>，落实环境风险防范措施。园区管理机构应定期开展环境风险评估，编制完善综合环境应急预案</w:t>
      </w:r>
      <w:r>
        <w:rPr>
          <w:rFonts w:hint="eastAsia" w:eastAsia="宋体"/>
          <w:lang w:val="en-US" w:eastAsia="zh-CN"/>
        </w:rPr>
        <w:t>方案</w:t>
      </w:r>
      <w:r>
        <w:rPr>
          <w:rFonts w:hint="eastAsia" w:eastAsia="宋体"/>
        </w:rPr>
        <w:t>，整合应急资源，储备环境应急物资及装备，定期组织开展应急演练，全面提升园区突发环境事件应急处理能力。</w:t>
      </w:r>
    </w:p>
    <w:p>
      <w:pPr>
        <w:pStyle w:val="70"/>
        <w:ind w:firstLine="480"/>
        <w:jc w:val="left"/>
        <w:rPr>
          <w:rFonts w:eastAsia="宋体"/>
        </w:rPr>
      </w:pPr>
      <w:r>
        <w:rPr>
          <w:rFonts w:eastAsia="宋体"/>
        </w:rPr>
        <w:t>园区建立了突发环境事件应急组织体系</w:t>
      </w:r>
      <w:r>
        <w:rPr>
          <w:rFonts w:hint="eastAsia" w:eastAsia="宋体"/>
        </w:rPr>
        <w:t>，</w:t>
      </w:r>
      <w:r>
        <w:rPr>
          <w:rFonts w:eastAsia="宋体"/>
        </w:rPr>
        <w:t>明确了应急原则</w:t>
      </w:r>
      <w:r>
        <w:rPr>
          <w:rFonts w:hint="eastAsia" w:eastAsia="宋体"/>
        </w:rPr>
        <w:t>，</w:t>
      </w:r>
      <w:r>
        <w:rPr>
          <w:rFonts w:eastAsia="宋体"/>
        </w:rPr>
        <w:t>环境应急领导小组成员及职责</w:t>
      </w:r>
      <w:r>
        <w:rPr>
          <w:rFonts w:hint="eastAsia" w:eastAsia="宋体"/>
        </w:rPr>
        <w:t>。</w:t>
      </w:r>
      <w:r>
        <w:rPr>
          <w:rFonts w:eastAsia="宋体"/>
        </w:rPr>
        <w:t>突发环境事件应急组织体系由应急领导小组</w:t>
      </w:r>
      <w:r>
        <w:rPr>
          <w:rFonts w:hint="eastAsia" w:eastAsia="宋体"/>
        </w:rPr>
        <w:t>、</w:t>
      </w:r>
      <w:r>
        <w:rPr>
          <w:rFonts w:eastAsia="宋体"/>
        </w:rPr>
        <w:t>专家组和应急救援队伍等组成</w:t>
      </w:r>
      <w:r>
        <w:rPr>
          <w:rFonts w:hint="eastAsia" w:eastAsia="宋体"/>
        </w:rPr>
        <w:t>。</w:t>
      </w:r>
    </w:p>
    <w:p>
      <w:pPr>
        <w:pStyle w:val="70"/>
        <w:ind w:firstLine="480"/>
        <w:jc w:val="left"/>
        <w:rPr>
          <w:rFonts w:eastAsia="宋体"/>
        </w:rPr>
      </w:pPr>
      <w:r>
        <w:rPr>
          <w:rFonts w:hint="eastAsia" w:eastAsia="宋体"/>
        </w:rPr>
        <w:t>为加强环保应急处置演练，确保园区及周边环境受到严重污染，</w:t>
      </w:r>
      <w:r>
        <w:rPr>
          <w:rFonts w:eastAsia="宋体"/>
        </w:rPr>
        <w:t>园区</w:t>
      </w:r>
      <w:r>
        <w:rPr>
          <w:rFonts w:hint="eastAsia" w:eastAsia="宋体"/>
          <w:lang w:val="en-US" w:eastAsia="zh-CN"/>
        </w:rPr>
        <w:t>需</w:t>
      </w:r>
      <w:r>
        <w:rPr>
          <w:rFonts w:hint="eastAsia" w:eastAsia="宋体"/>
        </w:rPr>
        <w:t>开展综合应急演练，加强应对环保突发环境事件的实践能力和应对能力。</w:t>
      </w:r>
    </w:p>
    <w:p>
      <w:pPr>
        <w:pStyle w:val="14"/>
        <w:rPr>
          <w:rFonts w:hint="default"/>
          <w:lang w:val="en-US"/>
        </w:rPr>
      </w:pPr>
      <w:bookmarkStart w:id="58" w:name="_Toc97912869"/>
      <w:bookmarkStart w:id="59" w:name="_Toc1559"/>
      <w:r>
        <w:rPr>
          <w:rFonts w:hint="eastAsia"/>
        </w:rPr>
        <w:t>5</w:t>
      </w:r>
      <w:r>
        <w:t>.4</w:t>
      </w:r>
      <w:r>
        <w:rPr>
          <w:rFonts w:hint="eastAsia"/>
          <w:lang w:eastAsia="zh-CN"/>
        </w:rPr>
        <w:t>“</w:t>
      </w:r>
      <w:r>
        <w:rPr>
          <w:rFonts w:hint="eastAsia"/>
          <w:lang w:val="en-US" w:eastAsia="zh-CN"/>
        </w:rPr>
        <w:t>三线一单</w:t>
      </w:r>
      <w:r>
        <w:rPr>
          <w:rFonts w:hint="eastAsia"/>
          <w:lang w:eastAsia="zh-CN"/>
        </w:rPr>
        <w:t>”</w:t>
      </w:r>
      <w:bookmarkEnd w:id="58"/>
      <w:r>
        <w:rPr>
          <w:rFonts w:hint="eastAsia"/>
          <w:lang w:val="en-US" w:eastAsia="zh-CN"/>
        </w:rPr>
        <w:t>管控要求及落实情况</w:t>
      </w:r>
      <w:bookmarkEnd w:id="59"/>
    </w:p>
    <w:p>
      <w:pPr>
        <w:pStyle w:val="70"/>
        <w:ind w:firstLine="480"/>
        <w:jc w:val="left"/>
        <w:rPr>
          <w:rFonts w:hint="eastAsia" w:eastAsia="宋体"/>
        </w:rPr>
      </w:pPr>
      <w:r>
        <w:rPr>
          <w:rFonts w:hint="eastAsia" w:eastAsia="宋体"/>
        </w:rPr>
        <w:t>2020年12月29 日，广东省人民政府印发《广东省“三线一单”生态环境分区管控方案》（粤府〔2020〕71号），2021年6月24日，江门市人民政府印发《江门市“三线一单”生态环境分区管控方案》（江府〔2021〕9 号），省市管控方案均从区域布局管控、能源资源利用、污染物排放管控和环境风险防控等方面明确准入要求。</w:t>
      </w:r>
    </w:p>
    <w:p>
      <w:pPr>
        <w:pStyle w:val="15"/>
        <w:rPr>
          <w:rFonts w:hint="default" w:eastAsia="宋体"/>
          <w:lang w:val="en-US" w:eastAsia="zh-CN"/>
        </w:rPr>
      </w:pPr>
      <w:r>
        <w:rPr>
          <w:rFonts w:hint="eastAsia" w:eastAsia="宋体"/>
          <w:lang w:val="en-US" w:eastAsia="zh-CN"/>
        </w:rPr>
        <w:t>5.4.1生态空间</w:t>
      </w:r>
    </w:p>
    <w:p>
      <w:pPr>
        <w:pStyle w:val="70"/>
        <w:keepNext w:val="0"/>
        <w:keepLines w:val="0"/>
        <w:pageBreakBefore w:val="0"/>
        <w:widowControl w:val="0"/>
        <w:kinsoku/>
        <w:wordWrap/>
        <w:overflowPunct/>
        <w:topLinePunct w:val="0"/>
        <w:autoSpaceDE/>
        <w:autoSpaceDN/>
        <w:bidi w:val="0"/>
        <w:adjustRightInd/>
        <w:snapToGrid/>
        <w:ind w:firstLine="480"/>
        <w:jc w:val="left"/>
        <w:textAlignment w:val="auto"/>
        <w:rPr>
          <w:rFonts w:hint="eastAsia" w:eastAsia="宋体"/>
        </w:rPr>
      </w:pPr>
      <w:r>
        <w:rPr>
          <w:rFonts w:hint="eastAsia" w:eastAsia="宋体"/>
        </w:rPr>
        <w:t>《广东省“三线一单”生态环境分区管控方案》《江门市“三线一单”生态环境分区管控方案》提出要求：“区域布局管控要求：优先保护生态空间，保育生态功能。生态保护红线内，自然保护地核心保护区原则上禁止人为活动，其他区域严格禁止开发性、生产性建设活动，在符合现行法律法规前提下，除国家重大战略项目外，仅允许对生态功能不造成破坏的有限人为活动。一般生态空间内，可开展生态保护红线内允许的活动；在不影响主导生态功能的前提下，还可开展国家和省规定不纳入环评管理的项目建设，以及生态旅游、畜禽养殖、基础设施建设、村庄建设等人为活动，一般生态空间内的人工商品林，允许依法进行抚育采伐、择伐和树种更新等经营活动。”该产业园区不涉及生态保护红线和一般生态空间，因此本项目符合生态保护红线、一般生态空间的管控要求。</w:t>
      </w:r>
    </w:p>
    <w:p>
      <w:pPr>
        <w:pStyle w:val="15"/>
        <w:rPr>
          <w:rFonts w:hint="default" w:eastAsia="宋体"/>
          <w:lang w:val="en-US" w:eastAsia="zh-CN"/>
        </w:rPr>
      </w:pPr>
      <w:r>
        <w:rPr>
          <w:rFonts w:hint="eastAsia"/>
          <w:lang w:val="en-US" w:eastAsia="zh-CN"/>
        </w:rPr>
        <w:t>5.4.2</w:t>
      </w:r>
      <w:r>
        <w:rPr>
          <w:rFonts w:hint="eastAsia" w:eastAsia="宋体"/>
          <w:lang w:val="en-US" w:eastAsia="zh-CN"/>
        </w:rPr>
        <w:t>资源利用上线</w:t>
      </w:r>
    </w:p>
    <w:p>
      <w:pPr>
        <w:pStyle w:val="70"/>
        <w:ind w:firstLine="480"/>
        <w:jc w:val="left"/>
        <w:rPr>
          <w:rFonts w:hint="eastAsia" w:eastAsia="宋体"/>
        </w:rPr>
      </w:pPr>
      <w:r>
        <w:rPr>
          <w:rFonts w:hint="eastAsia" w:eastAsia="宋体"/>
        </w:rPr>
        <w:t>《江门市“三线一单”生态环境分区管控方案》提出要求：“都市发展区</w:t>
      </w:r>
      <w:r>
        <w:rPr>
          <w:rFonts w:hint="eastAsia" w:eastAsia="宋体"/>
          <w:lang w:eastAsia="zh-CN"/>
        </w:rPr>
        <w:t>——</w:t>
      </w:r>
      <w:r>
        <w:rPr>
          <w:rFonts w:hint="eastAsia" w:eastAsia="宋体"/>
        </w:rPr>
        <w:t>能源资源利用要求，科学推进能源消费总量和强度“双控”，逐步提高可再生能源与低碳清洁能源比例，建立现代化能源体系。推进工业节水减排，重点在高耗水行业开展节水改造，提高工业用水效率。盘活存量建设用地，控制新增建设用地规模。”</w:t>
      </w:r>
    </w:p>
    <w:p>
      <w:pPr>
        <w:pStyle w:val="70"/>
        <w:ind w:firstLine="480"/>
        <w:jc w:val="left"/>
        <w:rPr>
          <w:rFonts w:hint="eastAsia" w:eastAsia="宋体"/>
        </w:rPr>
      </w:pPr>
      <w:r>
        <w:rPr>
          <w:rFonts w:hint="eastAsia" w:eastAsia="宋体"/>
        </w:rPr>
        <w:t>园区能源使用以电能为主，轻质柴油、天然气用量也较大，能源结构总体较清洁。园区内各企业锅炉已淘汰并改为</w:t>
      </w:r>
      <w:r>
        <w:rPr>
          <w:rFonts w:hint="eastAsia" w:eastAsia="宋体"/>
          <w:lang w:val="en-US" w:eastAsia="zh-CN"/>
        </w:rPr>
        <w:t>集中供热</w:t>
      </w:r>
      <w:r>
        <w:rPr>
          <w:rFonts w:hint="eastAsia" w:eastAsia="宋体"/>
        </w:rPr>
        <w:t>使用清洁能源，不再使用煤、重油等高污染燃料。园区能源资源利用情况基本符合相关要求，今后需进一步推进节能减排和控制新增建设用地规模，提高能源资源利用效率。</w:t>
      </w:r>
    </w:p>
    <w:p>
      <w:pPr>
        <w:pStyle w:val="15"/>
        <w:rPr>
          <w:rFonts w:hint="default"/>
          <w:lang w:val="en-US" w:eastAsia="zh-CN"/>
        </w:rPr>
      </w:pPr>
      <w:r>
        <w:rPr>
          <w:rFonts w:hint="eastAsia"/>
          <w:lang w:val="en-US" w:eastAsia="zh-CN"/>
        </w:rPr>
        <w:t>5.4.3环境质量底线</w:t>
      </w:r>
    </w:p>
    <w:p>
      <w:pPr>
        <w:pStyle w:val="70"/>
        <w:ind w:firstLine="480"/>
        <w:jc w:val="left"/>
        <w:rPr>
          <w:rFonts w:hint="eastAsia" w:eastAsia="宋体"/>
        </w:rPr>
      </w:pPr>
      <w:r>
        <w:rPr>
          <w:rFonts w:hint="eastAsia" w:eastAsia="宋体"/>
        </w:rPr>
        <w:t>《江门市“三线一单”生态环境分区管控方案》提出要求：“污染物排放管控要求：重点水污染物未达到环境质量改善目标的区域内，新建、改建、扩建项目实施减量替代。重金属污染重点防控区内，重点重金属排放总量只减不增；重金属污染物排放企业清洁生产逐步达到国际或国内先进水平。”</w:t>
      </w:r>
    </w:p>
    <w:p>
      <w:pPr>
        <w:pStyle w:val="70"/>
        <w:ind w:firstLine="480"/>
        <w:jc w:val="left"/>
        <w:rPr>
          <w:rFonts w:hint="eastAsia" w:eastAsia="宋体"/>
        </w:rPr>
      </w:pPr>
      <w:r>
        <w:rPr>
          <w:rFonts w:hint="eastAsia" w:eastAsia="宋体"/>
        </w:rPr>
        <w:t>园区所在区域大气环境质量达标，</w:t>
      </w:r>
      <w:r>
        <w:rPr>
          <w:rFonts w:hint="eastAsia" w:eastAsia="宋体"/>
          <w:lang w:val="en-US" w:eastAsia="zh-CN"/>
        </w:rPr>
        <w:t>大气环境质量良好</w:t>
      </w:r>
      <w:r>
        <w:rPr>
          <w:rFonts w:hint="eastAsia" w:eastAsia="宋体"/>
        </w:rPr>
        <w:t>。</w:t>
      </w:r>
      <w:r>
        <w:rPr>
          <w:rFonts w:hint="eastAsia" w:eastAsia="宋体"/>
          <w:lang w:val="en-US" w:eastAsia="zh-CN"/>
        </w:rPr>
        <w:t>近岸海域水质</w:t>
      </w:r>
      <w:r>
        <w:rPr>
          <w:rFonts w:hint="eastAsia" w:eastAsia="宋体"/>
        </w:rPr>
        <w:t>环境质量一般，园区及周边区域今后需进一步加大力度降低各类污染物的排放，同时完善环境基础设施建设，加大园区及周边区域“雨污分流”和管网配套设施的建设。</w:t>
      </w:r>
    </w:p>
    <w:p>
      <w:pPr>
        <w:pStyle w:val="15"/>
        <w:rPr>
          <w:rFonts w:hint="default"/>
          <w:lang w:val="en-US" w:eastAsia="zh-CN"/>
        </w:rPr>
      </w:pPr>
      <w:r>
        <w:rPr>
          <w:rFonts w:hint="eastAsia"/>
          <w:lang w:val="en-US" w:eastAsia="zh-CN"/>
        </w:rPr>
        <w:t>5.4.4生态环境准入清单</w:t>
      </w:r>
    </w:p>
    <w:p>
      <w:pPr>
        <w:pStyle w:val="70"/>
        <w:ind w:firstLine="480"/>
        <w:jc w:val="left"/>
        <w:rPr>
          <w:rFonts w:hint="eastAsia" w:eastAsia="宋体"/>
        </w:rPr>
      </w:pPr>
      <w:r>
        <w:rPr>
          <w:rFonts w:hint="eastAsia" w:eastAsia="宋体"/>
        </w:rPr>
        <w:t>《广东省“三线一单”生态环境分区管控方案》提出要求省级以上工业园区重点管控单元，依法开展园区规划环评，严格落实规划环评管理要求，开展环境质量跟踪监测，发布环境管理状况公告，制定并实施园区突发环境事件应急预案，定期开展环境安全隐患排查，提升风险防控及应急处置能力。周边1公里范围内涉及生态保护红线、自然保护地、饮用水水源地等生态环境敏感区域的园区，应优化产业布局，控制开发强度，优先引进无污染或轻污染的产业和项目，防止侵占生态空间。纳污水体水质超标的园区，应实施污水深度处理，新建、改建、扩建项目应实行重点污染物排放等量或减量替代。</w:t>
      </w:r>
    </w:p>
    <w:p>
      <w:pPr>
        <w:pStyle w:val="70"/>
        <w:ind w:firstLine="480"/>
        <w:jc w:val="left"/>
        <w:rPr>
          <w:rFonts w:hint="eastAsia" w:eastAsia="宋体"/>
        </w:rPr>
      </w:pPr>
      <w:r>
        <w:rPr>
          <w:rFonts w:hint="eastAsia" w:eastAsia="宋体"/>
        </w:rPr>
        <w:t>《江门市“三线一单”生态环境分区管控方案》全市总体管控要求方面，区域布局管控中，按照“三区并进”发展格局，调整优化产业集群发展空间布局，推动城市功能定位与产业集群发展协同匹配。并针对性提出了产业园区的清单，详见表</w:t>
      </w:r>
      <w:r>
        <w:rPr>
          <w:rFonts w:hint="eastAsia" w:eastAsia="宋体"/>
          <w:lang w:val="en-US" w:eastAsia="zh-CN"/>
        </w:rPr>
        <w:t>5.4-1</w:t>
      </w:r>
      <w:r>
        <w:rPr>
          <w:rFonts w:hint="eastAsia" w:eastAsia="宋体"/>
        </w:rPr>
        <w:t>。</w:t>
      </w:r>
    </w:p>
    <w:p>
      <w:pPr>
        <w:pStyle w:val="70"/>
        <w:ind w:firstLine="480"/>
        <w:jc w:val="left"/>
        <w:rPr>
          <w:rFonts w:hint="eastAsia" w:eastAsia="宋体"/>
        </w:rPr>
      </w:pPr>
      <w:r>
        <w:rPr>
          <w:rFonts w:hint="eastAsia" w:eastAsia="宋体"/>
        </w:rPr>
        <w:t>园区当前已完成规划环评，同时及时开展环境管理状况评估工作，今后需进一步落实《广东省“三线一单”生态环境分区管控方案》《江门市“三线一单”生态环境分区管控方案》以及园区规划环评中提及的各项管控要求。</w:t>
      </w:r>
    </w:p>
    <w:p>
      <w:pPr>
        <w:pStyle w:val="70"/>
        <w:ind w:firstLine="480"/>
        <w:jc w:val="left"/>
        <w:rPr>
          <w:rFonts w:hint="eastAsia" w:eastAsia="宋体"/>
        </w:rPr>
        <w:sectPr>
          <w:pgSz w:w="11906" w:h="16838"/>
          <w:pgMar w:top="1440" w:right="1800" w:bottom="1440" w:left="1800" w:header="851" w:footer="992" w:gutter="0"/>
          <w:cols w:space="720" w:num="1"/>
          <w:docGrid w:type="lines" w:linePitch="312" w:charSpace="0"/>
        </w:sectPr>
      </w:pPr>
    </w:p>
    <w:p>
      <w:pPr>
        <w:pStyle w:val="70"/>
        <w:ind w:left="0" w:leftChars="0" w:firstLine="0" w:firstLineChars="0"/>
        <w:jc w:val="center"/>
        <w:rPr>
          <w:rFonts w:hint="default" w:ascii="Times New Roman" w:hAnsi="Times New Roman" w:eastAsia="宋体" w:cs="Times New Roman"/>
          <w:b/>
          <w:kern w:val="2"/>
          <w:sz w:val="21"/>
          <w:szCs w:val="21"/>
          <w:lang w:val="en-US" w:eastAsia="zh-CN" w:bidi="ar-SA"/>
        </w:rPr>
      </w:pPr>
      <w:r>
        <w:rPr>
          <w:rFonts w:hint="eastAsia" w:ascii="Times New Roman" w:hAnsi="Times New Roman" w:eastAsia="宋体" w:cs="Times New Roman"/>
          <w:b/>
          <w:kern w:val="2"/>
          <w:sz w:val="21"/>
          <w:szCs w:val="21"/>
          <w:lang w:val="en-US" w:eastAsia="zh-CN" w:bidi="ar-SA"/>
        </w:rPr>
        <w:t>表5.4-1产业园区准入清单</w:t>
      </w:r>
    </w:p>
    <w:tbl>
      <w:tblPr>
        <w:tblStyle w:val="72"/>
        <w:tblW w:w="501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62"/>
        <w:gridCol w:w="4908"/>
        <w:gridCol w:w="668"/>
        <w:gridCol w:w="730"/>
        <w:gridCol w:w="696"/>
        <w:gridCol w:w="2296"/>
        <w:gridCol w:w="385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862" w:type="dxa"/>
            <w:vMerge w:val="restart"/>
            <w:tcBorders>
              <w:bottom w:val="nil"/>
            </w:tcBorders>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环境管控单元编码</w:t>
            </w:r>
          </w:p>
        </w:tc>
        <w:tc>
          <w:tcPr>
            <w:tcW w:w="4907" w:type="dxa"/>
            <w:vMerge w:val="restart"/>
            <w:tcBorders>
              <w:bottom w:val="nil"/>
            </w:tcBorders>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环境管控单元名称</w:t>
            </w:r>
          </w:p>
        </w:tc>
        <w:tc>
          <w:tcPr>
            <w:tcW w:w="2094" w:type="dxa"/>
            <w:gridSpan w:val="3"/>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行政区划</w:t>
            </w:r>
          </w:p>
        </w:tc>
        <w:tc>
          <w:tcPr>
            <w:tcW w:w="2295" w:type="dxa"/>
            <w:vMerge w:val="restart"/>
            <w:tcBorders>
              <w:bottom w:val="nil"/>
            </w:tcBorders>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管控单元分类</w:t>
            </w:r>
          </w:p>
        </w:tc>
        <w:tc>
          <w:tcPr>
            <w:tcW w:w="3852" w:type="dxa"/>
            <w:vMerge w:val="restart"/>
            <w:tcBorders>
              <w:bottom w:val="nil"/>
            </w:tcBorders>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要素细类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862" w:type="dxa"/>
            <w:vMerge w:val="continue"/>
            <w:tcBorders>
              <w:top w:val="nil"/>
            </w:tcBorders>
            <w:vAlign w:val="center"/>
          </w:tcPr>
          <w:p>
            <w:pPr>
              <w:jc w:val="center"/>
              <w:rPr>
                <w:rFonts w:hint="default" w:ascii="Times New Roman" w:hAnsi="Times New Roman" w:eastAsia="宋体" w:cs="Times New Roman"/>
                <w:color w:val="000000"/>
              </w:rPr>
            </w:pPr>
          </w:p>
        </w:tc>
        <w:tc>
          <w:tcPr>
            <w:tcW w:w="4907" w:type="dxa"/>
            <w:vMerge w:val="continue"/>
            <w:tcBorders>
              <w:top w:val="nil"/>
            </w:tcBorders>
            <w:vAlign w:val="center"/>
          </w:tcPr>
          <w:p>
            <w:pPr>
              <w:jc w:val="center"/>
              <w:rPr>
                <w:rFonts w:hint="default" w:ascii="Times New Roman" w:hAnsi="Times New Roman" w:eastAsia="宋体" w:cs="Times New Roman"/>
                <w:color w:val="000000"/>
              </w:rPr>
            </w:pPr>
          </w:p>
        </w:tc>
        <w:tc>
          <w:tcPr>
            <w:tcW w:w="668" w:type="dxa"/>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省</w:t>
            </w:r>
          </w:p>
        </w:tc>
        <w:tc>
          <w:tcPr>
            <w:tcW w:w="730" w:type="dxa"/>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市</w:t>
            </w:r>
          </w:p>
        </w:tc>
        <w:tc>
          <w:tcPr>
            <w:tcW w:w="696" w:type="dxa"/>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区</w:t>
            </w:r>
          </w:p>
        </w:tc>
        <w:tc>
          <w:tcPr>
            <w:tcW w:w="2295" w:type="dxa"/>
            <w:vMerge w:val="continue"/>
            <w:tcBorders>
              <w:top w:val="nil"/>
            </w:tcBorders>
            <w:vAlign w:val="center"/>
          </w:tcPr>
          <w:p>
            <w:pPr>
              <w:jc w:val="center"/>
              <w:rPr>
                <w:rFonts w:hint="default" w:ascii="Times New Roman" w:hAnsi="Times New Roman" w:eastAsia="宋体" w:cs="Times New Roman"/>
                <w:color w:val="000000"/>
              </w:rPr>
            </w:pPr>
          </w:p>
        </w:tc>
        <w:tc>
          <w:tcPr>
            <w:tcW w:w="3852" w:type="dxa"/>
            <w:vMerge w:val="continue"/>
            <w:tcBorders>
              <w:top w:val="nil"/>
            </w:tcBorders>
            <w:vAlign w:val="center"/>
          </w:tcPr>
          <w:p>
            <w:pPr>
              <w:jc w:val="center"/>
              <w:rPr>
                <w:rFonts w:hint="default" w:ascii="Times New Roman" w:hAnsi="Times New Roman" w:eastAsia="宋体" w:cs="Times New Roman"/>
                <w:color w:val="00000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862" w:type="dxa"/>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ZH44078120003</w:t>
            </w:r>
          </w:p>
        </w:tc>
        <w:tc>
          <w:tcPr>
            <w:tcW w:w="4907" w:type="dxa"/>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台山市广海镇大沙工业区 (皮革基地)</w:t>
            </w:r>
          </w:p>
        </w:tc>
        <w:tc>
          <w:tcPr>
            <w:tcW w:w="668" w:type="dxa"/>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广东省</w:t>
            </w:r>
          </w:p>
        </w:tc>
        <w:tc>
          <w:tcPr>
            <w:tcW w:w="730" w:type="dxa"/>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江门市</w:t>
            </w:r>
          </w:p>
        </w:tc>
        <w:tc>
          <w:tcPr>
            <w:tcW w:w="696" w:type="dxa"/>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台山市</w:t>
            </w:r>
          </w:p>
        </w:tc>
        <w:tc>
          <w:tcPr>
            <w:tcW w:w="2295" w:type="dxa"/>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园区型重点管控单元</w:t>
            </w:r>
          </w:p>
        </w:tc>
        <w:tc>
          <w:tcPr>
            <w:tcW w:w="3852" w:type="dxa"/>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大气环境高排放重点管控区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862" w:type="dxa"/>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b/>
                <w:bCs/>
                <w:color w:val="000000"/>
              </w:rPr>
              <w:t>管控维度</w:t>
            </w:r>
          </w:p>
        </w:tc>
        <w:tc>
          <w:tcPr>
            <w:tcW w:w="13148" w:type="dxa"/>
            <w:gridSpan w:val="6"/>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b/>
                <w:bCs/>
                <w:color w:val="000000"/>
              </w:rPr>
              <w:t>管控要求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862" w:type="dxa"/>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区域布局管控</w:t>
            </w:r>
          </w:p>
        </w:tc>
        <w:tc>
          <w:tcPr>
            <w:tcW w:w="13148" w:type="dxa"/>
            <w:gridSpan w:val="6"/>
            <w:vAlign w:val="center"/>
          </w:tcPr>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1-1.【产业/鼓励发展类】应按照基地定位，重点发展非耗水污染型的以皮革为原料的制衣、制鞋及皮具等项目以及废皮革再生利用等有利于环境与资源保护的产品，严格控制猪、牛、羊蓝湿皮加工及生产；不得引进国家明令淘汰的生产工艺。</w:t>
            </w:r>
          </w:p>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1-2.【产业/综合类】应在生态空间明确的基础上，结合环境质量目标及环境风险防范要求，对规划提出的生产空间、生活空间布局的环境合理性进行论证，基于环境影响的范围和程度，对生产空间和生活空间布局提出优化调整建议，避免或减缓生产活动对人居环境和人群健康的不利影响。</w:t>
            </w:r>
          </w:p>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1-3.【产业/禁止类】基地建设燃油蒸汽锅炉为内部企业实施集中供热，供热范围内原则上不得新建、扩建配套供热锅炉项目。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40" w:hRule="atLeast"/>
          <w:jc w:val="center"/>
        </w:trPr>
        <w:tc>
          <w:tcPr>
            <w:tcW w:w="862" w:type="dxa"/>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能源资源利用</w:t>
            </w:r>
          </w:p>
        </w:tc>
        <w:tc>
          <w:tcPr>
            <w:tcW w:w="13148" w:type="dxa"/>
            <w:gridSpan w:val="6"/>
            <w:vAlign w:val="center"/>
          </w:tcPr>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2-1.【产业/鼓励引导类】园区内新引进有清洁生产审核标准的行业，项目清洁生产水平应达到国内先进水平。</w:t>
            </w:r>
          </w:p>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2-2.【土地资源/鼓励引导类】土地资源：入园项目投资强度应符合有关规定。</w:t>
            </w:r>
          </w:p>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2-3.【能源/禁止类】禁止新引进使用高污染燃料的项目。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862" w:type="dxa"/>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污染物排放管控</w:t>
            </w:r>
          </w:p>
        </w:tc>
        <w:tc>
          <w:tcPr>
            <w:tcW w:w="13148" w:type="dxa"/>
            <w:gridSpan w:val="6"/>
            <w:vAlign w:val="center"/>
          </w:tcPr>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3-1.【产业/综合类】园区各项污染物排放总量不得突破规划环评核定的污染物排放总量管控要求。</w:t>
            </w:r>
          </w:p>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3-2.【水/综合类】基地新、改、扩建制革项目应实行重点重金属污染物排放等量替代。</w:t>
            </w:r>
          </w:p>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3-3.【大气/限制类】加强基地入驻企业整饰工段磨革含尘废气，喷浆工段有机废气，原皮储存、前处理工段和污水处理产生的恶臭气体收集和排放监管。各企业污水处理站及基地集中污水处理厂应及时清理格栅、沉砂池、调节池、污泥池等单元的浮渣，减少废水收集及处理系统恶臭气体的产生和逸散，基地厂界氨、硫化氢和臭气浓度排放执行《恶臭污染物排放标准》(GB14554-93)新扩改建二级厂界标准值。</w:t>
            </w:r>
          </w:p>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3-4.【固废/综合类】产生固体废物(含危险废物)的企业须配套建设符合规范且满足需求的贮存场所，固体废物(含危险废物)贮存、转移过程中应配套防扬散、防流失、防渗漏及其它防止污染环境的措施。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862" w:type="dxa"/>
            <w:vAlign w:val="center"/>
          </w:tcPr>
          <w:p>
            <w:pPr>
              <w:jc w:val="center"/>
              <w:rPr>
                <w:rFonts w:hint="default" w:ascii="Times New Roman" w:hAnsi="Times New Roman" w:eastAsia="宋体" w:cs="Times New Roman"/>
                <w:color w:val="000000"/>
              </w:rPr>
            </w:pPr>
          </w:p>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环境风险防控</w:t>
            </w:r>
          </w:p>
        </w:tc>
        <w:tc>
          <w:tcPr>
            <w:tcW w:w="13148" w:type="dxa"/>
            <w:gridSpan w:val="6"/>
            <w:vAlign w:val="center"/>
          </w:tcPr>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4-1.【风险/综合类】建立企业、基地、区域三级环境风险防控体系(各企业内设事故缓冲池，基地设置足够的应急事故缓冲池)，建立健全事故应急体系，落实有效的事故风险防范和应急措施，成立应急组织机构，加强环境应急管理，定期开展应急演练，提高区域环境风险防范能力。</w:t>
            </w:r>
          </w:p>
          <w:p>
            <w:pPr>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4-2.【风险/综合类】生产、使用、储存危险物质或涉及危险工艺系统的企业应配套有效的风险防范措施，并按规定编制环境风险应急预案，防止因渗漏污染地下水、土壤 ，以及因事故废水直排污染地表水体。</w:t>
            </w:r>
          </w:p>
        </w:tc>
      </w:tr>
    </w:tbl>
    <w:p>
      <w:pPr>
        <w:sectPr>
          <w:pgSz w:w="16838" w:h="11906" w:orient="landscape"/>
          <w:pgMar w:top="1800" w:right="1440" w:bottom="1800" w:left="1440" w:header="851" w:footer="992" w:gutter="0"/>
          <w:cols w:space="720" w:num="1"/>
          <w:docGrid w:type="lines" w:linePitch="312" w:charSpace="0"/>
        </w:sectPr>
      </w:pPr>
    </w:p>
    <w:p>
      <w:pPr>
        <w:pStyle w:val="13"/>
      </w:pPr>
      <w:bookmarkStart w:id="60" w:name="_Toc97912870"/>
      <w:bookmarkStart w:id="61" w:name="_Toc21603"/>
      <w:r>
        <w:t>六</w:t>
      </w:r>
      <w:r>
        <w:rPr>
          <w:rFonts w:hint="eastAsia"/>
        </w:rPr>
        <w:t xml:space="preserve"> </w:t>
      </w:r>
      <w:r>
        <w:t>结论及建议</w:t>
      </w:r>
      <w:bookmarkEnd w:id="60"/>
      <w:bookmarkEnd w:id="61"/>
    </w:p>
    <w:p>
      <w:pPr>
        <w:pStyle w:val="14"/>
      </w:pPr>
      <w:bookmarkStart w:id="62" w:name="_Toc9464"/>
      <w:bookmarkStart w:id="63" w:name="_Toc97912871"/>
      <w:r>
        <w:rPr>
          <w:rFonts w:hint="eastAsia"/>
        </w:rPr>
        <w:t>6</w:t>
      </w:r>
      <w:r>
        <w:t>.1结论</w:t>
      </w:r>
      <w:bookmarkEnd w:id="62"/>
      <w:bookmarkEnd w:id="63"/>
    </w:p>
    <w:p>
      <w:pPr>
        <w:pStyle w:val="70"/>
        <w:ind w:firstLine="480"/>
        <w:jc w:val="left"/>
        <w:rPr>
          <w:rFonts w:eastAsia="宋体"/>
        </w:rPr>
      </w:pPr>
      <w:r>
        <w:rPr>
          <w:rFonts w:hint="eastAsia" w:eastAsia="宋体"/>
        </w:rPr>
        <w:t>按照相关文件的要求，每年梳理产业园区主要污染源和污染物排放清单，开展编制年度环境管理状况评估报告。</w:t>
      </w:r>
    </w:p>
    <w:p>
      <w:pPr>
        <w:pStyle w:val="70"/>
        <w:ind w:firstLine="480"/>
        <w:jc w:val="left"/>
        <w:rPr>
          <w:rFonts w:hint="eastAsia" w:eastAsia="宋体"/>
        </w:rPr>
      </w:pPr>
      <w:r>
        <w:rPr>
          <w:rFonts w:eastAsia="宋体"/>
        </w:rPr>
        <w:t>2021年园区严格把控入园标准</w:t>
      </w:r>
      <w:r>
        <w:rPr>
          <w:rFonts w:hint="eastAsia" w:eastAsia="宋体"/>
        </w:rPr>
        <w:t>，</w:t>
      </w:r>
      <w:r>
        <w:rPr>
          <w:rFonts w:eastAsia="宋体"/>
        </w:rPr>
        <w:t>入园项目依法依规开展环评工作</w:t>
      </w:r>
      <w:r>
        <w:rPr>
          <w:rFonts w:hint="eastAsia" w:eastAsia="宋体"/>
        </w:rPr>
        <w:t>，</w:t>
      </w:r>
      <w:r>
        <w:rPr>
          <w:rFonts w:eastAsia="宋体"/>
        </w:rPr>
        <w:t>办理环保审批手续</w:t>
      </w:r>
      <w:r>
        <w:rPr>
          <w:rFonts w:hint="eastAsia" w:eastAsia="宋体"/>
        </w:rPr>
        <w:t>，</w:t>
      </w:r>
      <w:r>
        <w:rPr>
          <w:rFonts w:eastAsia="宋体"/>
        </w:rPr>
        <w:t>及时对入园企业的污染物排放情况进行统计</w:t>
      </w:r>
      <w:r>
        <w:rPr>
          <w:rFonts w:hint="eastAsia" w:eastAsia="宋体"/>
        </w:rPr>
        <w:t>，</w:t>
      </w:r>
      <w:r>
        <w:rPr>
          <w:rFonts w:eastAsia="宋体"/>
        </w:rPr>
        <w:t>核对园区总量情况</w:t>
      </w:r>
      <w:r>
        <w:rPr>
          <w:rFonts w:hint="eastAsia" w:eastAsia="宋体"/>
        </w:rPr>
        <w:t>，其中颗粒物和VOCs总量</w:t>
      </w:r>
      <w:r>
        <w:rPr>
          <w:rFonts w:hint="eastAsia" w:eastAsia="宋体"/>
          <w:lang w:val="en-US" w:eastAsia="zh-CN"/>
        </w:rPr>
        <w:t>均未</w:t>
      </w:r>
      <w:r>
        <w:rPr>
          <w:rFonts w:hint="eastAsia" w:eastAsia="宋体"/>
        </w:rPr>
        <w:t>超过规划环评的预测值。</w:t>
      </w:r>
      <w:r>
        <w:rPr>
          <w:rFonts w:eastAsia="宋体"/>
        </w:rPr>
        <w:t>同时</w:t>
      </w:r>
      <w:r>
        <w:rPr>
          <w:rFonts w:hint="eastAsia" w:eastAsia="宋体"/>
        </w:rPr>
        <w:t>，</w:t>
      </w:r>
      <w:r>
        <w:rPr>
          <w:rFonts w:eastAsia="宋体"/>
        </w:rPr>
        <w:t>园区出台相关环保管理规定</w:t>
      </w:r>
      <w:r>
        <w:rPr>
          <w:rFonts w:hint="eastAsia" w:eastAsia="宋体"/>
        </w:rPr>
        <w:t>，</w:t>
      </w:r>
      <w:r>
        <w:rPr>
          <w:rFonts w:eastAsia="宋体"/>
        </w:rPr>
        <w:t>加强对入园企业废水</w:t>
      </w:r>
      <w:r>
        <w:rPr>
          <w:rFonts w:hint="eastAsia" w:eastAsia="宋体"/>
        </w:rPr>
        <w:t>、</w:t>
      </w:r>
      <w:r>
        <w:rPr>
          <w:rFonts w:eastAsia="宋体"/>
        </w:rPr>
        <w:t>废气排放</w:t>
      </w:r>
      <w:r>
        <w:rPr>
          <w:rFonts w:hint="eastAsia" w:eastAsia="宋体"/>
        </w:rPr>
        <w:t>，</w:t>
      </w:r>
      <w:r>
        <w:rPr>
          <w:rFonts w:eastAsia="宋体"/>
        </w:rPr>
        <w:t>固体废物管理工作</w:t>
      </w:r>
      <w:r>
        <w:rPr>
          <w:rFonts w:hint="eastAsia" w:eastAsia="宋体"/>
        </w:rPr>
        <w:t>，</w:t>
      </w:r>
      <w:r>
        <w:rPr>
          <w:rFonts w:eastAsia="宋体"/>
        </w:rPr>
        <w:t>强化对企业管理人员环保管理意识</w:t>
      </w:r>
      <w:r>
        <w:rPr>
          <w:rFonts w:hint="eastAsia" w:eastAsia="宋体"/>
        </w:rPr>
        <w:t>。</w:t>
      </w:r>
      <w:r>
        <w:rPr>
          <w:rFonts w:hint="eastAsia" w:eastAsia="宋体"/>
          <w:lang w:val="en-US" w:eastAsia="zh-CN"/>
        </w:rPr>
        <w:t>园区配套的污水管网较完善，大沙污水处理厂也正常稳定运行。</w:t>
      </w:r>
      <w:r>
        <w:rPr>
          <w:rFonts w:eastAsia="宋体"/>
        </w:rPr>
        <w:t>此外</w:t>
      </w:r>
      <w:r>
        <w:rPr>
          <w:rFonts w:hint="eastAsia" w:eastAsia="宋体"/>
        </w:rPr>
        <w:t>，</w:t>
      </w:r>
      <w:r>
        <w:rPr>
          <w:rFonts w:eastAsia="宋体"/>
        </w:rPr>
        <w:t>园区通过加强环保管理</w:t>
      </w:r>
      <w:r>
        <w:rPr>
          <w:rFonts w:hint="eastAsia" w:eastAsia="宋体"/>
        </w:rPr>
        <w:t>，</w:t>
      </w:r>
      <w:r>
        <w:rPr>
          <w:rFonts w:eastAsia="宋体"/>
        </w:rPr>
        <w:t>有效地保持了园区环境质量</w:t>
      </w:r>
      <w:r>
        <w:rPr>
          <w:rFonts w:hint="eastAsia" w:eastAsia="宋体"/>
        </w:rPr>
        <w:t>，</w:t>
      </w:r>
      <w:r>
        <w:rPr>
          <w:rFonts w:eastAsia="宋体"/>
        </w:rPr>
        <w:t>控制在优良稳定范围</w:t>
      </w:r>
      <w:r>
        <w:rPr>
          <w:rFonts w:hint="eastAsia" w:eastAsia="宋体"/>
        </w:rPr>
        <w:t>。</w:t>
      </w:r>
    </w:p>
    <w:p>
      <w:pPr>
        <w:pStyle w:val="14"/>
      </w:pPr>
      <w:bookmarkStart w:id="64" w:name="_Toc20154"/>
      <w:bookmarkStart w:id="65" w:name="_Toc97912872"/>
      <w:r>
        <w:rPr>
          <w:rFonts w:hint="eastAsia"/>
        </w:rPr>
        <w:t>6</w:t>
      </w:r>
      <w:r>
        <w:t>.2建议</w:t>
      </w:r>
      <w:bookmarkEnd w:id="64"/>
      <w:bookmarkEnd w:id="65"/>
    </w:p>
    <w:p>
      <w:pPr>
        <w:pStyle w:val="70"/>
        <w:ind w:firstLine="480"/>
        <w:jc w:val="left"/>
        <w:rPr>
          <w:rFonts w:hint="eastAsia" w:eastAsia="宋体"/>
          <w:lang w:eastAsia="zh-CN"/>
        </w:rPr>
      </w:pPr>
      <w:r>
        <w:rPr>
          <w:rFonts w:hint="eastAsia" w:eastAsia="宋体"/>
          <w:lang w:eastAsia="zh-CN"/>
        </w:rPr>
        <w:t>（</w:t>
      </w:r>
      <w:r>
        <w:rPr>
          <w:rFonts w:hint="eastAsia" w:eastAsia="宋体"/>
          <w:lang w:val="en-US" w:eastAsia="zh-CN"/>
        </w:rPr>
        <w:t>1</w:t>
      </w:r>
      <w:r>
        <w:rPr>
          <w:rFonts w:hint="eastAsia" w:eastAsia="宋体"/>
          <w:lang w:eastAsia="zh-CN"/>
        </w:rPr>
        <w:t>）建议进一步明确各级生态环境部门对园区的生态环境保护监管责任，强化园区环境管理的组织协调职能，建立健全专人专管的联系机制，逐步形成完善的园区环境管理体制。园区应严格落实《广东省生态环境厅关于做好建设项目环评制度改革举措落实工作的通知》（粤环函〔2020〕302号）、《广东省生态环境厅印发〈关于进一步加强工业园区环境保护工作的意见》的通知》（粤环发〔2019〕1号）等相关文件精神，科学制定发展规划，依法开展规划环境影响评价，加强规划环评与项目环评联动，及时开展环境影响跟踪评价，并按时做好年度环境管理状况评估报告编制相关工作。</w:t>
      </w:r>
    </w:p>
    <w:p>
      <w:pPr>
        <w:pStyle w:val="70"/>
        <w:ind w:firstLine="480"/>
        <w:jc w:val="left"/>
        <w:rPr>
          <w:rFonts w:eastAsia="宋体"/>
        </w:rPr>
      </w:pPr>
      <w:r>
        <w:rPr>
          <w:rFonts w:hint="eastAsia" w:eastAsia="宋体"/>
        </w:rPr>
        <w:t>（</w:t>
      </w:r>
      <w:r>
        <w:rPr>
          <w:rFonts w:hint="eastAsia" w:eastAsia="宋体"/>
          <w:lang w:val="en-US" w:eastAsia="zh-CN"/>
        </w:rPr>
        <w:t>2</w:t>
      </w:r>
      <w:r>
        <w:rPr>
          <w:rFonts w:hint="eastAsia" w:eastAsia="宋体"/>
        </w:rPr>
        <w:t>）完善园区环保基础设施基本建设，各类污染物排放需得到较好的控制，落实了生态建设要求。建议构建企业、园区和生态环境部门三级风险防控联动体系，制定园区环境风险事故防范和应急预案，整合应急资源，储备环境应急物资及装备，定期组织开展应急演练，完善企业突发环境事件应急预案备案手续，全面提升园区突发环境事件应急处理能力。</w:t>
      </w:r>
    </w:p>
    <w:p>
      <w:pPr>
        <w:pStyle w:val="70"/>
        <w:ind w:firstLine="480"/>
        <w:jc w:val="left"/>
        <w:rPr>
          <w:rFonts w:hint="eastAsia" w:eastAsia="宋体"/>
          <w:color w:val="000000" w:themeColor="text1"/>
          <w:lang w:val="en-US" w:eastAsia="zh-CN"/>
          <w14:textFill>
            <w14:solidFill>
              <w14:schemeClr w14:val="tx1"/>
            </w14:solidFill>
          </w14:textFill>
        </w:rPr>
      </w:pPr>
      <w:r>
        <w:rPr>
          <w:rFonts w:hint="eastAsia" w:eastAsia="宋体"/>
          <w:color w:val="000000" w:themeColor="text1"/>
          <w14:textFill>
            <w14:solidFill>
              <w14:schemeClr w14:val="tx1"/>
            </w14:solidFill>
          </w14:textFill>
        </w:rPr>
        <w:t>（</w:t>
      </w:r>
      <w:r>
        <w:rPr>
          <w:rFonts w:hint="eastAsia" w:eastAsia="宋体"/>
          <w:color w:val="000000" w:themeColor="text1"/>
          <w:lang w:val="en-US" w:eastAsia="zh-CN"/>
          <w14:textFill>
            <w14:solidFill>
              <w14:schemeClr w14:val="tx1"/>
            </w14:solidFill>
          </w14:textFill>
        </w:rPr>
        <w:t>3</w:t>
      </w:r>
      <w:r>
        <w:rPr>
          <w:rFonts w:hint="eastAsia" w:eastAsia="宋体"/>
          <w:color w:val="000000" w:themeColor="text1"/>
          <w14:textFill>
            <w14:solidFill>
              <w14:schemeClr w14:val="tx1"/>
            </w14:solidFill>
          </w14:textFill>
        </w:rPr>
        <w:t>）</w:t>
      </w:r>
      <w:r>
        <w:rPr>
          <w:rFonts w:hint="eastAsia" w:eastAsia="宋体"/>
          <w:color w:val="000000" w:themeColor="text1"/>
          <w:lang w:val="en-US" w:eastAsia="zh-CN"/>
          <w14:textFill>
            <w14:solidFill>
              <w14:schemeClr w14:val="tx1"/>
            </w14:solidFill>
          </w14:textFill>
        </w:rPr>
        <w:t>建立环境监测制度，加强园区环境管理。建立园区的环境质量现状监测制度，完善特征污染因子，确保全面掌握环境质量的变化。</w:t>
      </w:r>
    </w:p>
    <w:p>
      <w:pPr>
        <w:pStyle w:val="70"/>
        <w:ind w:firstLine="480"/>
        <w:jc w:val="left"/>
        <w:rPr>
          <w:rFonts w:eastAsia="宋体"/>
          <w:color w:val="000000" w:themeColor="text1"/>
          <w14:textFill>
            <w14:solidFill>
              <w14:schemeClr w14:val="tx1"/>
            </w14:solidFill>
          </w14:textFill>
        </w:rPr>
      </w:pPr>
      <w:r>
        <w:rPr>
          <w:rFonts w:hint="eastAsia" w:eastAsia="宋体"/>
          <w:color w:val="000000" w:themeColor="text1"/>
          <w:lang w:val="en-US" w:eastAsia="zh-CN"/>
          <w14:textFill>
            <w14:solidFill>
              <w14:schemeClr w14:val="tx1"/>
            </w14:solidFill>
          </w14:textFill>
        </w:rPr>
        <w:t>严格执行环境监测制度，规范排放口，避免烟囱过高未留取样口或取样口过于小导致无法监测。对于园区内的企业“宽进严管”，对接近或超出排污许可的排放，限其减产、产能升级改造或停产。</w:t>
      </w:r>
    </w:p>
    <w:p>
      <w:pPr>
        <w:pStyle w:val="70"/>
        <w:ind w:firstLine="480"/>
        <w:jc w:val="left"/>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（4）加快完善和提升园区公共基础环保设施。各片区克服困难，积极筹措资金，加快园区环保设施的提升和完善。</w:t>
      </w:r>
    </w:p>
    <w:p>
      <w:pPr>
        <w:pStyle w:val="70"/>
        <w:ind w:firstLine="480"/>
        <w:jc w:val="left"/>
        <w:rPr>
          <w:rFonts w:eastAsia="宋体"/>
        </w:rPr>
      </w:pPr>
    </w:p>
    <w:p>
      <w:pPr>
        <w:pStyle w:val="70"/>
        <w:ind w:firstLine="0" w:firstLineChars="0"/>
        <w:jc w:val="left"/>
        <w:rPr>
          <w:rFonts w:eastAsia="宋体"/>
        </w:rPr>
      </w:pPr>
    </w:p>
    <w:p>
      <w:pPr>
        <w:pStyle w:val="70"/>
        <w:ind w:firstLine="0" w:firstLineChars="0"/>
        <w:jc w:val="left"/>
        <w:rPr>
          <w:rFonts w:eastAsia="宋体"/>
        </w:rPr>
      </w:pPr>
    </w:p>
    <w:p>
      <w:pPr>
        <w:pStyle w:val="70"/>
        <w:ind w:firstLine="0" w:firstLineChars="0"/>
        <w:jc w:val="left"/>
        <w:rPr>
          <w:rFonts w:eastAsia="宋体"/>
        </w:rPr>
      </w:pPr>
    </w:p>
    <w:p>
      <w:pPr>
        <w:pStyle w:val="70"/>
        <w:ind w:firstLine="0" w:firstLineChars="0"/>
        <w:jc w:val="left"/>
        <w:rPr>
          <w:rFonts w:eastAsia="宋体"/>
        </w:rPr>
      </w:pPr>
    </w:p>
    <w:p>
      <w:pPr>
        <w:pStyle w:val="70"/>
        <w:ind w:firstLine="0" w:firstLineChars="0"/>
        <w:jc w:val="left"/>
        <w:rPr>
          <w:rFonts w:eastAsia="宋体"/>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8"/>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fldChar w:fldCharType="begin"/>
    </w:r>
    <w:r>
      <w:instrText xml:space="preserve">PAGE   \* MERGEFORMAT</w:instrText>
    </w:r>
    <w:r>
      <w:fldChar w:fldCharType="separate"/>
    </w:r>
    <w:r>
      <w:rPr>
        <w:lang w:val="zh-CN"/>
      </w:rPr>
      <w:t>15</w:t>
    </w:r>
    <w:r>
      <w:fldChar w:fldCharType="end"/>
    </w:r>
  </w:p>
  <w:p>
    <w:pPr>
      <w:pStyle w:val="2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80BE58"/>
    <w:multiLevelType w:val="singleLevel"/>
    <w:tmpl w:val="4380BE58"/>
    <w:lvl w:ilvl="0" w:tentative="0">
      <w:start w:val="1"/>
      <w:numFmt w:val="bullet"/>
      <w:pStyle w:val="21"/>
      <w:lvlText w:val=""/>
      <w:lvlJc w:val="left"/>
      <w:pPr>
        <w:tabs>
          <w:tab w:val="left" w:pos="780"/>
        </w:tabs>
        <w:ind w:left="7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NotTrackMove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wZjdmYTg4N2ViZTM4NjgyZmI0YzMzYzUzYTQ5ZmQifQ=="/>
  </w:docVars>
  <w:rsids>
    <w:rsidRoot w:val="755A3C18"/>
    <w:rsid w:val="00041BD6"/>
    <w:rsid w:val="00054F73"/>
    <w:rsid w:val="00084C5D"/>
    <w:rsid w:val="00092854"/>
    <w:rsid w:val="000B0F45"/>
    <w:rsid w:val="000C02E5"/>
    <w:rsid w:val="000D047A"/>
    <w:rsid w:val="000F658F"/>
    <w:rsid w:val="00123194"/>
    <w:rsid w:val="00164758"/>
    <w:rsid w:val="00171BD9"/>
    <w:rsid w:val="00174965"/>
    <w:rsid w:val="00181D5E"/>
    <w:rsid w:val="001930CD"/>
    <w:rsid w:val="001A23A5"/>
    <w:rsid w:val="001B2ACD"/>
    <w:rsid w:val="001B7237"/>
    <w:rsid w:val="001E196A"/>
    <w:rsid w:val="001E5755"/>
    <w:rsid w:val="001F68B3"/>
    <w:rsid w:val="00201CB1"/>
    <w:rsid w:val="00204F1A"/>
    <w:rsid w:val="00206636"/>
    <w:rsid w:val="00214723"/>
    <w:rsid w:val="0027594C"/>
    <w:rsid w:val="0029533E"/>
    <w:rsid w:val="002A2838"/>
    <w:rsid w:val="002B11AC"/>
    <w:rsid w:val="002C48FC"/>
    <w:rsid w:val="002D7DDD"/>
    <w:rsid w:val="002F4E3C"/>
    <w:rsid w:val="00301109"/>
    <w:rsid w:val="00333F44"/>
    <w:rsid w:val="003348E8"/>
    <w:rsid w:val="00362778"/>
    <w:rsid w:val="0038621F"/>
    <w:rsid w:val="003B7274"/>
    <w:rsid w:val="003D26D1"/>
    <w:rsid w:val="003E0BD4"/>
    <w:rsid w:val="003E6A0B"/>
    <w:rsid w:val="004231A1"/>
    <w:rsid w:val="00442E1B"/>
    <w:rsid w:val="004842DF"/>
    <w:rsid w:val="00496A3C"/>
    <w:rsid w:val="004E0C02"/>
    <w:rsid w:val="00516B77"/>
    <w:rsid w:val="0054739E"/>
    <w:rsid w:val="0058416B"/>
    <w:rsid w:val="00590598"/>
    <w:rsid w:val="0059551B"/>
    <w:rsid w:val="00597D4C"/>
    <w:rsid w:val="005A0425"/>
    <w:rsid w:val="005B28C9"/>
    <w:rsid w:val="005C4F57"/>
    <w:rsid w:val="005C60C9"/>
    <w:rsid w:val="006076C8"/>
    <w:rsid w:val="0063499C"/>
    <w:rsid w:val="006458C1"/>
    <w:rsid w:val="006834D9"/>
    <w:rsid w:val="00684A03"/>
    <w:rsid w:val="00697DF8"/>
    <w:rsid w:val="006C7FC2"/>
    <w:rsid w:val="00701F5C"/>
    <w:rsid w:val="00705280"/>
    <w:rsid w:val="0072139E"/>
    <w:rsid w:val="00777E4A"/>
    <w:rsid w:val="007919CE"/>
    <w:rsid w:val="0079270F"/>
    <w:rsid w:val="00796143"/>
    <w:rsid w:val="0079653D"/>
    <w:rsid w:val="007C00AB"/>
    <w:rsid w:val="007C265D"/>
    <w:rsid w:val="007D52B9"/>
    <w:rsid w:val="007E4F6B"/>
    <w:rsid w:val="008063DD"/>
    <w:rsid w:val="0081197A"/>
    <w:rsid w:val="0081615B"/>
    <w:rsid w:val="00852632"/>
    <w:rsid w:val="00865F9A"/>
    <w:rsid w:val="008815BA"/>
    <w:rsid w:val="00882462"/>
    <w:rsid w:val="008A0DEF"/>
    <w:rsid w:val="008A6A6C"/>
    <w:rsid w:val="008D4B3F"/>
    <w:rsid w:val="009510C0"/>
    <w:rsid w:val="0097145B"/>
    <w:rsid w:val="00973101"/>
    <w:rsid w:val="009767F8"/>
    <w:rsid w:val="009A10BF"/>
    <w:rsid w:val="009B4C8B"/>
    <w:rsid w:val="009E03F0"/>
    <w:rsid w:val="009E22A9"/>
    <w:rsid w:val="009E6C1C"/>
    <w:rsid w:val="00A01B21"/>
    <w:rsid w:val="00A01FF0"/>
    <w:rsid w:val="00A1270A"/>
    <w:rsid w:val="00A61109"/>
    <w:rsid w:val="00A7499C"/>
    <w:rsid w:val="00AA087D"/>
    <w:rsid w:val="00AA45C2"/>
    <w:rsid w:val="00AA63FA"/>
    <w:rsid w:val="00AC17BD"/>
    <w:rsid w:val="00AD4AB1"/>
    <w:rsid w:val="00B23468"/>
    <w:rsid w:val="00B2638A"/>
    <w:rsid w:val="00B404D1"/>
    <w:rsid w:val="00B47B27"/>
    <w:rsid w:val="00B5446D"/>
    <w:rsid w:val="00B6138E"/>
    <w:rsid w:val="00B72F37"/>
    <w:rsid w:val="00BA4CF1"/>
    <w:rsid w:val="00BB1DCC"/>
    <w:rsid w:val="00BB28AE"/>
    <w:rsid w:val="00BB293B"/>
    <w:rsid w:val="00C00D7A"/>
    <w:rsid w:val="00C16050"/>
    <w:rsid w:val="00C339F6"/>
    <w:rsid w:val="00C45C3B"/>
    <w:rsid w:val="00C535A8"/>
    <w:rsid w:val="00C56B49"/>
    <w:rsid w:val="00C57185"/>
    <w:rsid w:val="00C70486"/>
    <w:rsid w:val="00C95CB7"/>
    <w:rsid w:val="00CA474D"/>
    <w:rsid w:val="00CE7FFD"/>
    <w:rsid w:val="00CF5401"/>
    <w:rsid w:val="00D04CD3"/>
    <w:rsid w:val="00D06F5D"/>
    <w:rsid w:val="00D10CFB"/>
    <w:rsid w:val="00D44968"/>
    <w:rsid w:val="00D5436F"/>
    <w:rsid w:val="00D93488"/>
    <w:rsid w:val="00DC2692"/>
    <w:rsid w:val="00DE7CB2"/>
    <w:rsid w:val="00DF4123"/>
    <w:rsid w:val="00DF66B6"/>
    <w:rsid w:val="00E21AFE"/>
    <w:rsid w:val="00E50BF7"/>
    <w:rsid w:val="00E515DC"/>
    <w:rsid w:val="00E5589E"/>
    <w:rsid w:val="00E65565"/>
    <w:rsid w:val="00EA14D4"/>
    <w:rsid w:val="00ED4B8D"/>
    <w:rsid w:val="00EF0754"/>
    <w:rsid w:val="00EF1F11"/>
    <w:rsid w:val="00F001AC"/>
    <w:rsid w:val="00F0250A"/>
    <w:rsid w:val="00F1003F"/>
    <w:rsid w:val="00F21D62"/>
    <w:rsid w:val="00F27D34"/>
    <w:rsid w:val="00F30E43"/>
    <w:rsid w:val="00F62C45"/>
    <w:rsid w:val="00F6423C"/>
    <w:rsid w:val="00F7698D"/>
    <w:rsid w:val="00F90E21"/>
    <w:rsid w:val="00FA620C"/>
    <w:rsid w:val="00FB0BCB"/>
    <w:rsid w:val="00FB3C26"/>
    <w:rsid w:val="00FC6BD3"/>
    <w:rsid w:val="00FE1E66"/>
    <w:rsid w:val="00FE6289"/>
    <w:rsid w:val="00FE78BD"/>
    <w:rsid w:val="00FF2AA5"/>
    <w:rsid w:val="0115130B"/>
    <w:rsid w:val="02054F52"/>
    <w:rsid w:val="021F5287"/>
    <w:rsid w:val="027B0B58"/>
    <w:rsid w:val="04E436D4"/>
    <w:rsid w:val="05500BDA"/>
    <w:rsid w:val="0593047E"/>
    <w:rsid w:val="05AD7274"/>
    <w:rsid w:val="06A84B1D"/>
    <w:rsid w:val="0729477E"/>
    <w:rsid w:val="08F0051C"/>
    <w:rsid w:val="092439DE"/>
    <w:rsid w:val="0A2A1A50"/>
    <w:rsid w:val="0A466107"/>
    <w:rsid w:val="0BC6462B"/>
    <w:rsid w:val="0BCC622B"/>
    <w:rsid w:val="0C2A4A79"/>
    <w:rsid w:val="0D1550AE"/>
    <w:rsid w:val="0D3C68E2"/>
    <w:rsid w:val="0E4C531F"/>
    <w:rsid w:val="0E7178D2"/>
    <w:rsid w:val="0ECB4B89"/>
    <w:rsid w:val="0F701A5F"/>
    <w:rsid w:val="10977333"/>
    <w:rsid w:val="115447E5"/>
    <w:rsid w:val="11867876"/>
    <w:rsid w:val="130258C3"/>
    <w:rsid w:val="15E1169F"/>
    <w:rsid w:val="15F43E97"/>
    <w:rsid w:val="16540659"/>
    <w:rsid w:val="168360B4"/>
    <w:rsid w:val="16C73777"/>
    <w:rsid w:val="18044FFF"/>
    <w:rsid w:val="18A9217F"/>
    <w:rsid w:val="19387D0F"/>
    <w:rsid w:val="1A6C0F32"/>
    <w:rsid w:val="1AAC69E8"/>
    <w:rsid w:val="1AEC171F"/>
    <w:rsid w:val="1AFB754E"/>
    <w:rsid w:val="1BA021D3"/>
    <w:rsid w:val="1BD03BD6"/>
    <w:rsid w:val="1F3C40B9"/>
    <w:rsid w:val="1F974144"/>
    <w:rsid w:val="2098263A"/>
    <w:rsid w:val="20CB50F6"/>
    <w:rsid w:val="21B3334B"/>
    <w:rsid w:val="21C916A0"/>
    <w:rsid w:val="2274177C"/>
    <w:rsid w:val="233864D3"/>
    <w:rsid w:val="23CE5E1A"/>
    <w:rsid w:val="23FC7063"/>
    <w:rsid w:val="25D31964"/>
    <w:rsid w:val="26B942E1"/>
    <w:rsid w:val="278914D5"/>
    <w:rsid w:val="292E24A0"/>
    <w:rsid w:val="29E144FB"/>
    <w:rsid w:val="2B0E79F6"/>
    <w:rsid w:val="2D0237C0"/>
    <w:rsid w:val="2DA60703"/>
    <w:rsid w:val="2F430233"/>
    <w:rsid w:val="300C3FD9"/>
    <w:rsid w:val="30C33312"/>
    <w:rsid w:val="310454BC"/>
    <w:rsid w:val="319E4942"/>
    <w:rsid w:val="32586911"/>
    <w:rsid w:val="32653646"/>
    <w:rsid w:val="34627E5E"/>
    <w:rsid w:val="354566EB"/>
    <w:rsid w:val="359D6905"/>
    <w:rsid w:val="368312D3"/>
    <w:rsid w:val="36DF1240"/>
    <w:rsid w:val="37537F54"/>
    <w:rsid w:val="37E578E9"/>
    <w:rsid w:val="3B974891"/>
    <w:rsid w:val="3C5F1402"/>
    <w:rsid w:val="3CBE54B5"/>
    <w:rsid w:val="3D2F1B81"/>
    <w:rsid w:val="3DDB6BFC"/>
    <w:rsid w:val="3EF01097"/>
    <w:rsid w:val="3F052541"/>
    <w:rsid w:val="4099259F"/>
    <w:rsid w:val="40AC0FE7"/>
    <w:rsid w:val="42946FE2"/>
    <w:rsid w:val="44242A3A"/>
    <w:rsid w:val="44F13C87"/>
    <w:rsid w:val="464D3067"/>
    <w:rsid w:val="47C960C2"/>
    <w:rsid w:val="47F54023"/>
    <w:rsid w:val="48E374F8"/>
    <w:rsid w:val="4B0F2CE4"/>
    <w:rsid w:val="4B377AC2"/>
    <w:rsid w:val="4BC3315F"/>
    <w:rsid w:val="4BFF4E54"/>
    <w:rsid w:val="4C792E5F"/>
    <w:rsid w:val="4DAD2F1B"/>
    <w:rsid w:val="4E91545A"/>
    <w:rsid w:val="4ED169E8"/>
    <w:rsid w:val="4F815087"/>
    <w:rsid w:val="50342C2B"/>
    <w:rsid w:val="51284B7E"/>
    <w:rsid w:val="52805D8F"/>
    <w:rsid w:val="53605153"/>
    <w:rsid w:val="570A3B5F"/>
    <w:rsid w:val="57100362"/>
    <w:rsid w:val="571E5A0F"/>
    <w:rsid w:val="57850CB9"/>
    <w:rsid w:val="57854480"/>
    <w:rsid w:val="58632745"/>
    <w:rsid w:val="5B10088E"/>
    <w:rsid w:val="5C400754"/>
    <w:rsid w:val="5CF01ECA"/>
    <w:rsid w:val="5E85528A"/>
    <w:rsid w:val="5EEE3BD5"/>
    <w:rsid w:val="60692394"/>
    <w:rsid w:val="625B7A0C"/>
    <w:rsid w:val="64C22703"/>
    <w:rsid w:val="651C6191"/>
    <w:rsid w:val="65AB7870"/>
    <w:rsid w:val="67307D24"/>
    <w:rsid w:val="67747705"/>
    <w:rsid w:val="6987022D"/>
    <w:rsid w:val="6A1011E7"/>
    <w:rsid w:val="6B2D7248"/>
    <w:rsid w:val="6BFB3F9D"/>
    <w:rsid w:val="6CAB7F90"/>
    <w:rsid w:val="6D46568A"/>
    <w:rsid w:val="6DC82478"/>
    <w:rsid w:val="6DF952C9"/>
    <w:rsid w:val="6F5C1D54"/>
    <w:rsid w:val="6F81041C"/>
    <w:rsid w:val="704A05E7"/>
    <w:rsid w:val="71AF18AB"/>
    <w:rsid w:val="724230E8"/>
    <w:rsid w:val="72F51694"/>
    <w:rsid w:val="734B14E2"/>
    <w:rsid w:val="73753AEC"/>
    <w:rsid w:val="73EF6311"/>
    <w:rsid w:val="74887200"/>
    <w:rsid w:val="755A3C18"/>
    <w:rsid w:val="76B564B1"/>
    <w:rsid w:val="77486B51"/>
    <w:rsid w:val="7763453F"/>
    <w:rsid w:val="780B7B50"/>
    <w:rsid w:val="7ACE2B82"/>
    <w:rsid w:val="7B012D25"/>
    <w:rsid w:val="7B42528E"/>
    <w:rsid w:val="7C2C1819"/>
    <w:rsid w:val="7D721714"/>
    <w:rsid w:val="7DBA364F"/>
    <w:rsid w:val="7DE54904"/>
    <w:rsid w:val="7F5B6056"/>
    <w:rsid w:val="7FB43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qFormat="1" w:uiPriority="99"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13">
    <w:name w:val="heading 1"/>
    <w:basedOn w:val="1"/>
    <w:next w:val="1"/>
    <w:qFormat/>
    <w:uiPriority w:val="0"/>
    <w:pPr>
      <w:keepNext/>
      <w:keepLines/>
      <w:spacing w:before="240" w:after="240"/>
      <w:jc w:val="center"/>
      <w:outlineLvl w:val="0"/>
    </w:pPr>
    <w:rPr>
      <w:b/>
      <w:kern w:val="44"/>
      <w:sz w:val="44"/>
    </w:rPr>
  </w:style>
  <w:style w:type="paragraph" w:styleId="14">
    <w:name w:val="heading 2"/>
    <w:basedOn w:val="1"/>
    <w:next w:val="1"/>
    <w:qFormat/>
    <w:uiPriority w:val="0"/>
    <w:pPr>
      <w:keepNext/>
      <w:keepLines/>
      <w:spacing w:before="120" w:after="120"/>
      <w:outlineLvl w:val="1"/>
    </w:pPr>
    <w:rPr>
      <w:rFonts w:ascii="Times New Roman" w:hAnsi="Times New Roman"/>
      <w:b/>
      <w:sz w:val="32"/>
    </w:rPr>
  </w:style>
  <w:style w:type="paragraph" w:styleId="15">
    <w:name w:val="heading 3"/>
    <w:basedOn w:val="1"/>
    <w:next w:val="1"/>
    <w:qFormat/>
    <w:uiPriority w:val="0"/>
    <w:pPr>
      <w:keepNext/>
      <w:keepLines/>
      <w:spacing w:before="120" w:after="120"/>
      <w:outlineLvl w:val="2"/>
    </w:pPr>
    <w:rPr>
      <w:rFonts w:ascii="Times New Roman" w:hAnsi="Times New Roman"/>
      <w:b/>
      <w:sz w:val="30"/>
    </w:rPr>
  </w:style>
  <w:style w:type="paragraph" w:styleId="9">
    <w:name w:val="heading 4"/>
    <w:basedOn w:val="1"/>
    <w:next w:val="10"/>
    <w:qFormat/>
    <w:uiPriority w:val="0"/>
    <w:pPr>
      <w:keepNext/>
      <w:keepLines/>
      <w:spacing w:before="280" w:after="290" w:line="372" w:lineRule="auto"/>
      <w:outlineLvl w:val="3"/>
    </w:pPr>
    <w:rPr>
      <w:rFonts w:ascii="Arial" w:hAnsi="Arial" w:eastAsia="黑体"/>
      <w:b/>
      <w:sz w:val="28"/>
    </w:rPr>
  </w:style>
  <w:style w:type="paragraph" w:styleId="16">
    <w:name w:val="heading 5"/>
    <w:basedOn w:val="1"/>
    <w:next w:val="1"/>
    <w:qFormat/>
    <w:uiPriority w:val="0"/>
    <w:pPr>
      <w:keepNext/>
      <w:keepLines/>
      <w:spacing w:before="280" w:after="290" w:line="372" w:lineRule="auto"/>
      <w:outlineLvl w:val="4"/>
    </w:pPr>
    <w:rPr>
      <w:b/>
      <w:sz w:val="28"/>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4"/>
    <w:qFormat/>
    <w:uiPriority w:val="0"/>
    <w:pPr>
      <w:autoSpaceDE w:val="0"/>
      <w:autoSpaceDN w:val="0"/>
    </w:pPr>
    <w:rPr>
      <w:color w:val="000000"/>
      <w:sz w:val="24"/>
      <w:szCs w:val="24"/>
    </w:rPr>
  </w:style>
  <w:style w:type="paragraph" w:customStyle="1" w:styleId="3">
    <w:name w:val="纯文本1"/>
    <w:basedOn w:val="1"/>
    <w:semiHidden/>
    <w:qFormat/>
    <w:uiPriority w:val="0"/>
    <w:pPr>
      <w:adjustRightInd w:val="0"/>
      <w:textAlignment w:val="baseline"/>
    </w:pPr>
    <w:rPr>
      <w:rFonts w:ascii="宋体" w:hAnsi="Courier New"/>
      <w:szCs w:val="20"/>
    </w:rPr>
  </w:style>
  <w:style w:type="paragraph" w:customStyle="1" w:styleId="4">
    <w:name w:val="样式35"/>
    <w:basedOn w:val="5"/>
    <w:next w:val="11"/>
    <w:qFormat/>
    <w:uiPriority w:val="0"/>
    <w:pPr>
      <w:widowControl w:val="0"/>
      <w:tabs>
        <w:tab w:val="left" w:pos="1247"/>
        <w:tab w:val="left" w:pos="1589"/>
      </w:tabs>
      <w:spacing w:line="312" w:lineRule="auto"/>
      <w:ind w:firstLine="567"/>
      <w:jc w:val="both"/>
    </w:pPr>
    <w:rPr>
      <w:rFonts w:ascii="宋体" w:hAnsi="Times New Roman" w:cs="Times New Roman"/>
      <w:kern w:val="2"/>
      <w:sz w:val="21"/>
      <w:szCs w:val="22"/>
    </w:rPr>
  </w:style>
  <w:style w:type="paragraph" w:customStyle="1" w:styleId="5">
    <w:name w:val="样式26"/>
    <w:basedOn w:val="6"/>
    <w:qFormat/>
    <w:uiPriority w:val="0"/>
    <w:pPr>
      <w:pBdr>
        <w:bottom w:val="single" w:color="808080" w:sz="24" w:space="1"/>
      </w:pBdr>
      <w:tabs>
        <w:tab w:val="left" w:pos="1247"/>
        <w:tab w:val="left" w:pos="1589"/>
      </w:tabs>
    </w:pPr>
    <w:rPr>
      <w:sz w:val="18"/>
    </w:rPr>
  </w:style>
  <w:style w:type="paragraph" w:customStyle="1" w:styleId="6">
    <w:name w:val="样式21"/>
    <w:basedOn w:val="7"/>
    <w:qFormat/>
    <w:uiPriority w:val="0"/>
    <w:pPr>
      <w:widowControl/>
      <w:tabs>
        <w:tab w:val="left" w:pos="1247"/>
        <w:tab w:val="left" w:pos="1589"/>
      </w:tabs>
      <w:spacing w:before="80" w:after="80" w:line="360" w:lineRule="auto"/>
      <w:ind w:left="0" w:firstLine="0"/>
    </w:pPr>
    <w:rPr>
      <w:rFonts w:ascii="Arial" w:eastAsia="宋体" w:cs="宋体"/>
      <w:b/>
      <w:bCs/>
    </w:rPr>
  </w:style>
  <w:style w:type="paragraph" w:customStyle="1" w:styleId="7">
    <w:name w:val="样式5"/>
    <w:basedOn w:val="8"/>
    <w:qFormat/>
    <w:uiPriority w:val="0"/>
    <w:pPr>
      <w:tabs>
        <w:tab w:val="left" w:pos="1247"/>
        <w:tab w:val="left" w:pos="1589"/>
      </w:tabs>
      <w:spacing w:before="156" w:beforeLines="50" w:after="60"/>
      <w:ind w:left="1589" w:hanging="1021"/>
      <w:jc w:val="left"/>
    </w:pPr>
    <w:rPr>
      <w:rFonts w:ascii="仿宋_GB2312" w:hAnsi="等线" w:eastAsia="仿宋_GB2312"/>
      <w:color w:val="FF0000"/>
      <w:kern w:val="0"/>
    </w:rPr>
  </w:style>
  <w:style w:type="paragraph" w:customStyle="1" w:styleId="8">
    <w:name w:val="样式12"/>
    <w:basedOn w:val="9"/>
    <w:qFormat/>
    <w:uiPriority w:val="0"/>
    <w:pPr>
      <w:tabs>
        <w:tab w:val="left" w:pos="1247"/>
      </w:tabs>
      <w:snapToGrid w:val="0"/>
      <w:spacing w:line="312" w:lineRule="auto"/>
      <w:ind w:left="1134" w:hanging="1134"/>
    </w:pPr>
    <w:rPr>
      <w:rFonts w:ascii="Times New Roman" w:hAnsi="宋体" w:eastAsia="宋体"/>
      <w:b w:val="0"/>
    </w:rPr>
  </w:style>
  <w:style w:type="paragraph" w:customStyle="1" w:styleId="10">
    <w:name w:val="表文字52"/>
    <w:basedOn w:val="1"/>
    <w:qFormat/>
    <w:uiPriority w:val="0"/>
    <w:pPr>
      <w:adjustRightInd w:val="0"/>
    </w:pPr>
    <w:rPr>
      <w:szCs w:val="20"/>
    </w:rPr>
  </w:style>
  <w:style w:type="paragraph" w:customStyle="1" w:styleId="11">
    <w:name w:val="font6"/>
    <w:next w:val="12"/>
    <w:qFormat/>
    <w:uiPriority w:val="0"/>
    <w:pPr>
      <w:spacing w:before="280" w:after="280"/>
      <w:jc w:val="both"/>
    </w:pPr>
    <w:rPr>
      <w:rFonts w:ascii="Times New Roman" w:hAnsi="Times New Roman" w:eastAsia="宋体" w:cs="Times New Roman"/>
      <w:kern w:val="2"/>
      <w:sz w:val="21"/>
      <w:szCs w:val="22"/>
      <w:lang w:val="en-US" w:eastAsia="zh-CN" w:bidi="ar-SA"/>
    </w:rPr>
  </w:style>
  <w:style w:type="paragraph" w:styleId="12">
    <w:name w:val="toc 2"/>
    <w:basedOn w:val="1"/>
    <w:next w:val="1"/>
    <w:qFormat/>
    <w:uiPriority w:val="39"/>
    <w:pPr>
      <w:tabs>
        <w:tab w:val="right" w:leader="dot" w:pos="9060"/>
      </w:tabs>
    </w:pPr>
  </w:style>
  <w:style w:type="paragraph" w:styleId="17">
    <w:name w:val="E-mail Signature"/>
    <w:basedOn w:val="1"/>
    <w:next w:val="18"/>
    <w:unhideWhenUsed/>
    <w:qFormat/>
    <w:uiPriority w:val="99"/>
    <w:pPr>
      <w:spacing w:line="460" w:lineRule="exact"/>
      <w:ind w:firstLine="200" w:firstLineChars="200"/>
    </w:pPr>
    <w:rPr>
      <w:rFonts w:hint="eastAsia" w:ascii="Times New Roman" w:hAnsi="Times New Roman"/>
      <w:sz w:val="24"/>
      <w:szCs w:val="20"/>
    </w:rPr>
  </w:style>
  <w:style w:type="paragraph" w:customStyle="1" w:styleId="18">
    <w:name w:val="文章"/>
    <w:basedOn w:val="19"/>
    <w:next w:val="20"/>
    <w:qFormat/>
    <w:uiPriority w:val="0"/>
    <w:pPr>
      <w:ind w:firstLine="480"/>
      <w:jc w:val="center"/>
    </w:pPr>
    <w:rPr>
      <w:rFonts w:ascii="Times New Roman" w:hAnsi="Times New Roman" w:eastAsia="宋体"/>
      <w:kern w:val="2"/>
      <w:sz w:val="26"/>
      <w:szCs w:val="22"/>
    </w:rPr>
  </w:style>
  <w:style w:type="paragraph" w:styleId="19">
    <w:name w:val="Body Text Indent"/>
    <w:basedOn w:val="1"/>
    <w:qFormat/>
    <w:uiPriority w:val="0"/>
    <w:pPr>
      <w:spacing w:line="500" w:lineRule="atLeast"/>
      <w:ind w:firstLine="567"/>
    </w:pPr>
    <w:rPr>
      <w:rFonts w:ascii="黑体" w:hAnsi="黑体" w:eastAsia="黑体"/>
      <w:spacing w:val="10"/>
      <w:kern w:val="0"/>
      <w:sz w:val="28"/>
      <w:szCs w:val="20"/>
    </w:rPr>
  </w:style>
  <w:style w:type="paragraph" w:styleId="20">
    <w:name w:val="List"/>
    <w:basedOn w:val="1"/>
    <w:next w:val="21"/>
    <w:qFormat/>
    <w:uiPriority w:val="0"/>
    <w:pPr>
      <w:ind w:left="200" w:hanging="200" w:hangingChars="200"/>
    </w:pPr>
  </w:style>
  <w:style w:type="paragraph" w:styleId="21">
    <w:name w:val="List Bullet 2"/>
    <w:basedOn w:val="1"/>
    <w:next w:val="22"/>
    <w:qFormat/>
    <w:uiPriority w:val="0"/>
    <w:pPr>
      <w:numPr>
        <w:ilvl w:val="0"/>
        <w:numId w:val="1"/>
      </w:numPr>
    </w:pPr>
  </w:style>
  <w:style w:type="paragraph" w:customStyle="1" w:styleId="22">
    <w:name w:val="xl70"/>
    <w:basedOn w:val="1"/>
    <w:next w:val="23"/>
    <w:qFormat/>
    <w:uiPriority w:val="0"/>
    <w:pPr>
      <w:widowControl/>
      <w:spacing w:before="280" w:after="280"/>
    </w:pPr>
    <w:rPr>
      <w:rFonts w:ascii="宋体"/>
      <w:sz w:val="24"/>
    </w:rPr>
  </w:style>
  <w:style w:type="paragraph" w:customStyle="1" w:styleId="23">
    <w:name w:val="正文缩进1"/>
    <w:basedOn w:val="1"/>
    <w:next w:val="24"/>
    <w:qFormat/>
    <w:uiPriority w:val="0"/>
    <w:pPr>
      <w:spacing w:line="360" w:lineRule="auto"/>
      <w:ind w:firstLine="420"/>
    </w:pPr>
    <w:rPr>
      <w:rFonts w:ascii="宋体"/>
    </w:rPr>
  </w:style>
  <w:style w:type="paragraph" w:customStyle="1" w:styleId="24">
    <w:name w:val="td1"/>
    <w:basedOn w:val="1"/>
    <w:next w:val="1"/>
    <w:qFormat/>
    <w:uiPriority w:val="0"/>
    <w:pPr>
      <w:widowControl/>
      <w:spacing w:before="280" w:after="280" w:line="300" w:lineRule="atLeast"/>
      <w:ind w:firstLine="200"/>
    </w:pPr>
    <w:rPr>
      <w:color w:val="000000"/>
      <w:sz w:val="18"/>
    </w:rPr>
  </w:style>
  <w:style w:type="paragraph" w:styleId="25">
    <w:name w:val="Normal Indent"/>
    <w:basedOn w:val="1"/>
    <w:qFormat/>
    <w:uiPriority w:val="0"/>
    <w:pPr>
      <w:ind w:firstLine="420" w:firstLineChars="200"/>
    </w:pPr>
  </w:style>
  <w:style w:type="paragraph" w:styleId="26">
    <w:name w:val="annotation text"/>
    <w:basedOn w:val="1"/>
    <w:link w:val="61"/>
    <w:semiHidden/>
    <w:qFormat/>
    <w:uiPriority w:val="0"/>
    <w:pPr>
      <w:adjustRightInd w:val="0"/>
      <w:spacing w:line="360" w:lineRule="atLeast"/>
      <w:jc w:val="left"/>
      <w:textAlignment w:val="baseline"/>
    </w:pPr>
    <w:rPr>
      <w:kern w:val="0"/>
    </w:rPr>
  </w:style>
  <w:style w:type="paragraph" w:styleId="27">
    <w:name w:val="toc 3"/>
    <w:basedOn w:val="1"/>
    <w:next w:val="1"/>
    <w:qFormat/>
    <w:uiPriority w:val="39"/>
    <w:pPr>
      <w:ind w:left="840" w:leftChars="400"/>
    </w:pPr>
  </w:style>
  <w:style w:type="paragraph" w:styleId="28">
    <w:name w:val="Balloon Text"/>
    <w:basedOn w:val="1"/>
    <w:link w:val="67"/>
    <w:qFormat/>
    <w:uiPriority w:val="0"/>
    <w:rPr>
      <w:sz w:val="18"/>
      <w:szCs w:val="18"/>
    </w:rPr>
  </w:style>
  <w:style w:type="paragraph" w:styleId="29">
    <w:name w:val="footer"/>
    <w:basedOn w:val="1"/>
    <w:link w:val="74"/>
    <w:qFormat/>
    <w:uiPriority w:val="99"/>
    <w:pPr>
      <w:tabs>
        <w:tab w:val="center" w:pos="4153"/>
        <w:tab w:val="right" w:pos="8306"/>
      </w:tabs>
      <w:snapToGrid w:val="0"/>
      <w:jc w:val="left"/>
    </w:pPr>
    <w:rPr>
      <w:sz w:val="18"/>
    </w:rPr>
  </w:style>
  <w:style w:type="paragraph" w:styleId="3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1">
    <w:name w:val="toc 1"/>
    <w:basedOn w:val="1"/>
    <w:next w:val="1"/>
    <w:qFormat/>
    <w:uiPriority w:val="39"/>
    <w:pPr>
      <w:adjustRightInd w:val="0"/>
      <w:spacing w:line="360" w:lineRule="auto"/>
      <w:ind w:right="100" w:rightChars="100"/>
    </w:pPr>
  </w:style>
  <w:style w:type="paragraph" w:styleId="32">
    <w:name w:val="Body Text 2"/>
    <w:basedOn w:val="1"/>
    <w:qFormat/>
    <w:uiPriority w:val="0"/>
    <w:pPr>
      <w:spacing w:after="120" w:line="480" w:lineRule="auto"/>
    </w:pPr>
  </w:style>
  <w:style w:type="paragraph" w:styleId="33">
    <w:name w:val="Normal (Web)"/>
    <w:basedOn w:val="1"/>
    <w:qFormat/>
    <w:uiPriority w:val="0"/>
    <w:pPr>
      <w:spacing w:beforeAutospacing="1" w:afterAutospacing="1"/>
      <w:jc w:val="left"/>
    </w:pPr>
    <w:rPr>
      <w:kern w:val="0"/>
      <w:sz w:val="24"/>
    </w:rPr>
  </w:style>
  <w:style w:type="paragraph" w:styleId="34">
    <w:name w:val="annotation subject"/>
    <w:basedOn w:val="26"/>
    <w:next w:val="26"/>
    <w:link w:val="66"/>
    <w:qFormat/>
    <w:uiPriority w:val="0"/>
    <w:pPr>
      <w:adjustRightInd/>
      <w:spacing w:line="240" w:lineRule="auto"/>
      <w:textAlignment w:val="auto"/>
    </w:pPr>
    <w:rPr>
      <w:b/>
      <w:bCs/>
      <w:kern w:val="2"/>
    </w:rPr>
  </w:style>
  <w:style w:type="table" w:styleId="36">
    <w:name w:val="Table Grid"/>
    <w:basedOn w:val="3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8">
    <w:name w:val="Strong"/>
    <w:qFormat/>
    <w:uiPriority w:val="0"/>
    <w:rPr>
      <w:b/>
    </w:rPr>
  </w:style>
  <w:style w:type="character" w:styleId="39">
    <w:name w:val="Hyperlink"/>
    <w:unhideWhenUsed/>
    <w:qFormat/>
    <w:uiPriority w:val="99"/>
    <w:rPr>
      <w:color w:val="0563C1"/>
      <w:u w:val="single"/>
    </w:rPr>
  </w:style>
  <w:style w:type="character" w:styleId="40">
    <w:name w:val="annotation reference"/>
    <w:qFormat/>
    <w:uiPriority w:val="0"/>
    <w:rPr>
      <w:sz w:val="21"/>
      <w:szCs w:val="21"/>
    </w:rPr>
  </w:style>
  <w:style w:type="paragraph" w:customStyle="1" w:styleId="41">
    <w:name w:val="HJ-正文"/>
    <w:basedOn w:val="42"/>
    <w:qFormat/>
    <w:uiPriority w:val="0"/>
    <w:pPr>
      <w:adjustRightInd/>
      <w:snapToGrid/>
      <w:spacing w:before="50" w:beforeLines="50" w:after="50" w:afterLines="50"/>
    </w:pPr>
    <w:rPr>
      <w:rFonts w:ascii="Times New Roman"/>
    </w:rPr>
  </w:style>
  <w:style w:type="paragraph" w:customStyle="1" w:styleId="42">
    <w:name w:val="报告正文"/>
    <w:basedOn w:val="1"/>
    <w:semiHidden/>
    <w:qFormat/>
    <w:uiPriority w:val="0"/>
    <w:pPr>
      <w:adjustRightInd w:val="0"/>
      <w:snapToGrid w:val="0"/>
      <w:spacing w:line="360" w:lineRule="auto"/>
      <w:ind w:firstLine="200" w:firstLineChars="200"/>
    </w:pPr>
    <w:rPr>
      <w:rFonts w:ascii="宋体"/>
      <w:sz w:val="24"/>
      <w:szCs w:val="20"/>
    </w:rPr>
  </w:style>
  <w:style w:type="paragraph" w:customStyle="1" w:styleId="43">
    <w:name w:val="表格1"/>
    <w:basedOn w:val="1"/>
    <w:qFormat/>
    <w:uiPriority w:val="0"/>
    <w:pPr>
      <w:adjustRightInd w:val="0"/>
      <w:snapToGrid w:val="0"/>
      <w:spacing w:before="78" w:beforeLines="25" w:after="78" w:afterLines="25"/>
      <w:ind w:left="-30" w:leftChars="-30" w:right="-30" w:rightChars="-30"/>
      <w:jc w:val="center"/>
      <w:textAlignment w:val="baseline"/>
    </w:pPr>
    <w:rPr>
      <w:rFonts w:ascii="宋体"/>
      <w:snapToGrid w:val="0"/>
      <w:color w:val="000000"/>
      <w:kern w:val="0"/>
      <w:szCs w:val="9"/>
    </w:rPr>
  </w:style>
  <w:style w:type="paragraph" w:customStyle="1" w:styleId="44">
    <w:name w:val="表格文"/>
    <w:qFormat/>
    <w:uiPriority w:val="0"/>
    <w:pPr>
      <w:adjustRightInd w:val="0"/>
      <w:snapToGrid w:val="0"/>
      <w:spacing w:before="120" w:after="120" w:line="276" w:lineRule="auto"/>
      <w:jc w:val="center"/>
    </w:pPr>
    <w:rPr>
      <w:rFonts w:ascii="Times New Roman" w:hAnsi="Times New Roman" w:eastAsia="宋体" w:cs="Times New Roman"/>
      <w:kern w:val="2"/>
      <w:sz w:val="21"/>
      <w:szCs w:val="21"/>
      <w:lang w:val="en-US" w:eastAsia="zh-CN" w:bidi="ar-SA"/>
    </w:rPr>
  </w:style>
  <w:style w:type="paragraph" w:customStyle="1" w:styleId="45">
    <w:name w:val="表中表格式"/>
    <w:qFormat/>
    <w:uiPriority w:val="0"/>
    <w:pPr>
      <w:spacing w:before="20" w:after="20"/>
      <w:jc w:val="center"/>
    </w:pPr>
    <w:rPr>
      <w:rFonts w:ascii="Times New Roman" w:hAnsi="Times New Roman" w:eastAsia="宋体" w:cs="Times New Roman"/>
      <w:kern w:val="2"/>
      <w:sz w:val="21"/>
      <w:szCs w:val="24"/>
      <w:lang w:val="en-US" w:eastAsia="zh-CN" w:bidi="ar-SA"/>
    </w:rPr>
  </w:style>
  <w:style w:type="paragraph" w:customStyle="1" w:styleId="46">
    <w:name w:val="Table caption|1"/>
    <w:basedOn w:val="1"/>
    <w:qFormat/>
    <w:uiPriority w:val="0"/>
    <w:pPr>
      <w:spacing w:after="40"/>
    </w:pPr>
    <w:rPr>
      <w:rFonts w:ascii="宋体" w:hAnsi="宋体" w:cs="宋体"/>
      <w:sz w:val="18"/>
      <w:szCs w:val="18"/>
      <w:lang w:val="zh-TW" w:eastAsia="zh-TW" w:bidi="zh-TW"/>
    </w:rPr>
  </w:style>
  <w:style w:type="paragraph" w:customStyle="1" w:styleId="47">
    <w:name w:val="文字"/>
    <w:basedOn w:val="1"/>
    <w:qFormat/>
    <w:uiPriority w:val="0"/>
    <w:pPr>
      <w:spacing w:after="120" w:afterLines="50" w:line="360" w:lineRule="auto"/>
      <w:ind w:firstLine="420"/>
    </w:pPr>
  </w:style>
  <w:style w:type="paragraph" w:customStyle="1" w:styleId="48">
    <w:name w:val="电镀正文"/>
    <w:basedOn w:val="25"/>
    <w:qFormat/>
    <w:uiPriority w:val="0"/>
    <w:pPr>
      <w:spacing w:line="400" w:lineRule="exact"/>
      <w:ind w:firstLine="200"/>
    </w:pPr>
    <w:rPr>
      <w:rFonts w:ascii="宋体" w:hAnsi="宋体"/>
    </w:rPr>
  </w:style>
  <w:style w:type="paragraph" w:customStyle="1" w:styleId="49">
    <w:name w:val="Other|1"/>
    <w:basedOn w:val="1"/>
    <w:qFormat/>
    <w:uiPriority w:val="0"/>
    <w:pPr>
      <w:jc w:val="center"/>
    </w:pPr>
    <w:rPr>
      <w:rFonts w:ascii="宋体" w:hAnsi="宋体" w:cs="宋体"/>
      <w:sz w:val="19"/>
      <w:szCs w:val="19"/>
      <w:lang w:val="zh-TW" w:eastAsia="zh-TW" w:bidi="zh-TW"/>
    </w:rPr>
  </w:style>
  <w:style w:type="paragraph" w:customStyle="1" w:styleId="50">
    <w:name w:val="三级标题"/>
    <w:basedOn w:val="41"/>
    <w:qFormat/>
    <w:uiPriority w:val="0"/>
    <w:pPr>
      <w:ind w:firstLine="0" w:firstLineChars="0"/>
      <w:jc w:val="left"/>
    </w:pPr>
    <w:rPr>
      <w:b/>
    </w:rPr>
  </w:style>
  <w:style w:type="paragraph" w:customStyle="1" w:styleId="51">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52">
    <w:name w:val="WPSOffice手动目录 1"/>
    <w:qFormat/>
    <w:uiPriority w:val="0"/>
    <w:rPr>
      <w:rFonts w:ascii="Times New Roman" w:hAnsi="Times New Roman" w:eastAsia="宋体" w:cs="Times New Roman"/>
      <w:lang w:val="en-US" w:eastAsia="zh-CN" w:bidi="ar-SA"/>
    </w:rPr>
  </w:style>
  <w:style w:type="paragraph" w:customStyle="1" w:styleId="53">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54">
    <w:name w:val="Table Paragraph"/>
    <w:basedOn w:val="1"/>
    <w:qFormat/>
    <w:uiPriority w:val="1"/>
    <w:rPr>
      <w:rFonts w:ascii="宋体" w:hAnsi="宋体" w:cs="宋体"/>
      <w:lang w:val="zh-CN" w:bidi="zh-CN"/>
    </w:rPr>
  </w:style>
  <w:style w:type="character" w:customStyle="1" w:styleId="55">
    <w:name w:val="font21"/>
    <w:qFormat/>
    <w:uiPriority w:val="0"/>
    <w:rPr>
      <w:rFonts w:hint="default" w:ascii="Times New Roman" w:hAnsi="Times New Roman" w:cs="Times New Roman"/>
      <w:color w:val="000000"/>
      <w:sz w:val="22"/>
      <w:szCs w:val="22"/>
      <w:u w:val="none"/>
    </w:rPr>
  </w:style>
  <w:style w:type="character" w:customStyle="1" w:styleId="56">
    <w:name w:val="font71"/>
    <w:qFormat/>
    <w:uiPriority w:val="0"/>
    <w:rPr>
      <w:rFonts w:hint="eastAsia" w:ascii="宋体" w:hAnsi="宋体" w:eastAsia="宋体" w:cs="宋体"/>
      <w:color w:val="000000"/>
      <w:sz w:val="22"/>
      <w:szCs w:val="22"/>
      <w:u w:val="none"/>
    </w:rPr>
  </w:style>
  <w:style w:type="character" w:customStyle="1" w:styleId="57">
    <w:name w:val="font41"/>
    <w:qFormat/>
    <w:uiPriority w:val="0"/>
    <w:rPr>
      <w:rFonts w:hint="default" w:ascii="Times New Roman" w:hAnsi="Times New Roman" w:cs="Times New Roman"/>
      <w:color w:val="000000"/>
      <w:sz w:val="22"/>
      <w:szCs w:val="22"/>
      <w:u w:val="none"/>
      <w:vertAlign w:val="superscript"/>
    </w:rPr>
  </w:style>
  <w:style w:type="character" w:customStyle="1" w:styleId="58">
    <w:name w:val="font11"/>
    <w:qFormat/>
    <w:uiPriority w:val="0"/>
    <w:rPr>
      <w:rFonts w:hint="default" w:ascii="Times New Roman" w:hAnsi="Times New Roman" w:cs="Times New Roman"/>
      <w:color w:val="000000"/>
      <w:sz w:val="22"/>
      <w:szCs w:val="22"/>
      <w:u w:val="none"/>
    </w:rPr>
  </w:style>
  <w:style w:type="character" w:customStyle="1" w:styleId="59">
    <w:name w:val="font51"/>
    <w:qFormat/>
    <w:uiPriority w:val="0"/>
    <w:rPr>
      <w:rFonts w:hint="default" w:ascii="Times New Roman" w:hAnsi="Times New Roman" w:cs="Times New Roman"/>
      <w:color w:val="000000"/>
      <w:sz w:val="22"/>
      <w:szCs w:val="22"/>
      <w:u w:val="none"/>
    </w:rPr>
  </w:style>
  <w:style w:type="character" w:customStyle="1" w:styleId="60">
    <w:name w:val="font61"/>
    <w:qFormat/>
    <w:uiPriority w:val="0"/>
    <w:rPr>
      <w:rFonts w:hint="default" w:ascii="Times New Roman" w:hAnsi="Times New Roman" w:cs="Times New Roman"/>
      <w:color w:val="000000"/>
      <w:sz w:val="22"/>
      <w:szCs w:val="22"/>
      <w:u w:val="none"/>
    </w:rPr>
  </w:style>
  <w:style w:type="character" w:customStyle="1" w:styleId="61">
    <w:name w:val="批注文字 Char"/>
    <w:link w:val="26"/>
    <w:semiHidden/>
    <w:qFormat/>
    <w:uiPriority w:val="0"/>
    <w:rPr>
      <w:rFonts w:ascii="Calibri" w:hAnsi="Calibri" w:eastAsia="宋体" w:cs="Times New Roman"/>
      <w:sz w:val="21"/>
      <w:szCs w:val="24"/>
    </w:rPr>
  </w:style>
  <w:style w:type="character" w:customStyle="1" w:styleId="62">
    <w:name w:val="font01"/>
    <w:qFormat/>
    <w:uiPriority w:val="0"/>
    <w:rPr>
      <w:rFonts w:hint="eastAsia" w:ascii="宋体" w:hAnsi="宋体" w:eastAsia="宋体" w:cs="宋体"/>
      <w:color w:val="000000"/>
      <w:sz w:val="22"/>
      <w:szCs w:val="22"/>
      <w:u w:val="none"/>
    </w:rPr>
  </w:style>
  <w:style w:type="character" w:customStyle="1" w:styleId="63">
    <w:name w:val="font91"/>
    <w:qFormat/>
    <w:uiPriority w:val="0"/>
    <w:rPr>
      <w:rFonts w:hint="default" w:ascii="Times New Roman" w:hAnsi="Times New Roman" w:cs="Times New Roman"/>
      <w:color w:val="000000"/>
      <w:sz w:val="19"/>
      <w:szCs w:val="19"/>
      <w:u w:val="none"/>
    </w:rPr>
  </w:style>
  <w:style w:type="character" w:customStyle="1" w:styleId="64">
    <w:name w:val="font31"/>
    <w:qFormat/>
    <w:uiPriority w:val="0"/>
    <w:rPr>
      <w:rFonts w:hint="eastAsia" w:ascii="宋体" w:hAnsi="宋体" w:eastAsia="宋体" w:cs="宋体"/>
      <w:color w:val="000000"/>
      <w:sz w:val="22"/>
      <w:szCs w:val="22"/>
      <w:u w:val="none"/>
    </w:rPr>
  </w:style>
  <w:style w:type="character" w:customStyle="1" w:styleId="65">
    <w:name w:val="font101"/>
    <w:qFormat/>
    <w:uiPriority w:val="0"/>
    <w:rPr>
      <w:rFonts w:hint="eastAsia" w:ascii="宋体" w:hAnsi="宋体" w:eastAsia="宋体" w:cs="宋体"/>
      <w:color w:val="000000"/>
      <w:sz w:val="19"/>
      <w:szCs w:val="19"/>
      <w:u w:val="none"/>
    </w:rPr>
  </w:style>
  <w:style w:type="character" w:customStyle="1" w:styleId="66">
    <w:name w:val="批注主题 Char"/>
    <w:link w:val="34"/>
    <w:qFormat/>
    <w:uiPriority w:val="0"/>
    <w:rPr>
      <w:rFonts w:ascii="Calibri" w:hAnsi="Calibri" w:eastAsia="宋体" w:cs="Times New Roman"/>
      <w:b/>
      <w:bCs/>
      <w:kern w:val="2"/>
      <w:sz w:val="21"/>
      <w:szCs w:val="24"/>
    </w:rPr>
  </w:style>
  <w:style w:type="character" w:customStyle="1" w:styleId="67">
    <w:name w:val="批注框文本 Char"/>
    <w:link w:val="28"/>
    <w:qFormat/>
    <w:uiPriority w:val="0"/>
    <w:rPr>
      <w:rFonts w:ascii="Calibri" w:hAnsi="Calibri" w:eastAsia="宋体" w:cs="Times New Roman"/>
      <w:kern w:val="2"/>
      <w:sz w:val="18"/>
      <w:szCs w:val="18"/>
    </w:rPr>
  </w:style>
  <w:style w:type="character" w:customStyle="1" w:styleId="68">
    <w:name w:val="font81"/>
    <w:qFormat/>
    <w:uiPriority w:val="0"/>
    <w:rPr>
      <w:rFonts w:ascii="黑体" w:hAnsi="宋体" w:eastAsia="黑体" w:cs="黑体"/>
      <w:color w:val="000000"/>
      <w:sz w:val="22"/>
      <w:szCs w:val="22"/>
      <w:u w:val="none"/>
    </w:rPr>
  </w:style>
  <w:style w:type="table" w:customStyle="1" w:styleId="69">
    <w:name w:val="无左右框线表格"/>
    <w:basedOn w:val="35"/>
    <w:qFormat/>
    <w:uiPriority w:val="99"/>
    <w:pPr>
      <w:jc w:val="center"/>
    </w:pPr>
    <w:rPr>
      <w:sz w:val="21"/>
    </w:rPr>
    <w:tblPr>
      <w:jc w:val="center"/>
      <w:tblBorders>
        <w:top w:val="single" w:color="auto" w:sz="4" w:space="0"/>
        <w:bottom w:val="single" w:color="auto" w:sz="4" w:space="0"/>
        <w:insideH w:val="single" w:color="auto" w:sz="4" w:space="0"/>
        <w:insideV w:val="single" w:color="auto" w:sz="4" w:space="0"/>
      </w:tblBorders>
      <w:tblCellMar>
        <w:top w:w="0" w:type="dxa"/>
        <w:left w:w="108" w:type="dxa"/>
        <w:bottom w:w="0" w:type="dxa"/>
        <w:right w:w="108" w:type="dxa"/>
      </w:tblCellMar>
    </w:tblPr>
    <w:trPr>
      <w:jc w:val="center"/>
    </w:trPr>
    <w:tcPr>
      <w:vAlign w:val="center"/>
    </w:tcPr>
  </w:style>
  <w:style w:type="paragraph" w:customStyle="1" w:styleId="70">
    <w:name w:val="正文格式"/>
    <w:basedOn w:val="1"/>
    <w:link w:val="71"/>
    <w:qFormat/>
    <w:uiPriority w:val="0"/>
    <w:pPr>
      <w:spacing w:line="360" w:lineRule="auto"/>
      <w:ind w:firstLine="200" w:firstLineChars="200"/>
      <w:jc w:val="center"/>
    </w:pPr>
    <w:rPr>
      <w:rFonts w:ascii="Times New Roman" w:hAnsi="Times New Roman" w:eastAsia="Times New Roman"/>
      <w:sz w:val="24"/>
    </w:rPr>
  </w:style>
  <w:style w:type="character" w:customStyle="1" w:styleId="71">
    <w:name w:val="正文格式 Char"/>
    <w:link w:val="70"/>
    <w:qFormat/>
    <w:uiPriority w:val="0"/>
    <w:rPr>
      <w:rFonts w:eastAsia="Times New Roman"/>
      <w:kern w:val="2"/>
      <w:sz w:val="24"/>
      <w:szCs w:val="24"/>
    </w:rPr>
  </w:style>
  <w:style w:type="table" w:customStyle="1" w:styleId="72">
    <w:name w:val="Table Normal"/>
    <w:basedOn w:val="35"/>
    <w:qFormat/>
    <w:uiPriority w:val="0"/>
    <w:rPr>
      <w:rFonts w:ascii="Arial" w:hAnsi="Arial" w:eastAsia="Times New Roman" w:cs="Arial"/>
      <w:color w:val="000000"/>
    </w:rPr>
    <w:tblPr>
      <w:tblCellMar>
        <w:top w:w="0" w:type="dxa"/>
        <w:left w:w="0" w:type="dxa"/>
        <w:bottom w:w="0" w:type="dxa"/>
        <w:right w:w="0" w:type="dxa"/>
      </w:tblCellMar>
    </w:tblPr>
  </w:style>
  <w:style w:type="table" w:customStyle="1" w:styleId="73">
    <w:name w:val="网格型1"/>
    <w:basedOn w:val="35"/>
    <w:unhideWhenUsed/>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4">
    <w:name w:val="页脚 Char"/>
    <w:link w:val="29"/>
    <w:qFormat/>
    <w:uiPriority w:val="99"/>
    <w:rPr>
      <w:rFonts w:ascii="Calibri" w:hAnsi="Calibri"/>
      <w:kern w:val="2"/>
      <w:sz w:val="18"/>
      <w:szCs w:val="24"/>
    </w:rPr>
  </w:style>
  <w:style w:type="paragraph" w:customStyle="1" w:styleId="75">
    <w:name w:val="TOC Heading"/>
    <w:basedOn w:val="13"/>
    <w:next w:val="1"/>
    <w:unhideWhenUsed/>
    <w:qFormat/>
    <w:uiPriority w:val="39"/>
    <w:pPr>
      <w:widowControl/>
      <w:spacing w:after="0" w:line="259" w:lineRule="auto"/>
      <w:jc w:val="left"/>
      <w:outlineLvl w:val="9"/>
    </w:pPr>
    <w:rPr>
      <w:rFonts w:ascii="Calibri Light" w:hAnsi="Calibri Light"/>
      <w:b w:val="0"/>
      <w:color w:val="2E74B5"/>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EE6065-C945-4D24-A97B-0CC716BB8A39}">
  <ds:schemaRefs/>
</ds:datastoreItem>
</file>

<file path=docProps/app.xml><?xml version="1.0" encoding="utf-8"?>
<Properties xmlns="http://schemas.openxmlformats.org/officeDocument/2006/extended-properties" xmlns:vt="http://schemas.openxmlformats.org/officeDocument/2006/docPropsVTypes">
  <Template>Normal</Template>
  <Company>HP</Company>
  <Pages>33</Pages>
  <Words>13905</Words>
  <Characters>16560</Characters>
  <Lines>142</Lines>
  <Paragraphs>40</Paragraphs>
  <TotalTime>35</TotalTime>
  <ScaleCrop>false</ScaleCrop>
  <LinksUpToDate>false</LinksUpToDate>
  <CharactersWithSpaces>16697</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2021-01-07T02:54:00Z</dcterms:created>
  <dc:creator>何嘉杰</dc:creator>
  <cp:lastModifiedBy>林</cp:lastModifiedBy>
  <cp:lastPrinted>2022-03-29T02:46:00Z</cp:lastPrinted>
  <dcterms:modified xsi:type="dcterms:W3CDTF">2022-12-12T09:12:28Z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70B16979375C48C3B08CF331A00A4B77</vt:lpwstr>
  </property>
</Properties>
</file>