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val="0"/>
        <w:spacing w:line="600" w:lineRule="exact"/>
        <w:ind w:left="0" w:leftChars="0" w:right="0" w:rightChars="0"/>
        <w:jc w:val="center"/>
        <w:textAlignment w:val="auto"/>
        <w:outlineLvl w:val="9"/>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snapToGrid w:val="0"/>
        <w:spacing w:line="600" w:lineRule="exact"/>
        <w:ind w:left="0" w:leftChars="0" w:right="0" w:rightChars="0"/>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台山市</w:t>
      </w:r>
      <w:r>
        <w:rPr>
          <w:rFonts w:hint="eastAsia" w:ascii="宋体" w:hAnsi="宋体" w:eastAsia="宋体" w:cs="宋体"/>
          <w:b/>
          <w:bCs/>
          <w:sz w:val="44"/>
          <w:szCs w:val="44"/>
          <w:lang w:eastAsia="zh-CN"/>
        </w:rPr>
        <w:t>县域商业建设行动</w:t>
      </w:r>
      <w:r>
        <w:rPr>
          <w:rFonts w:hint="eastAsia" w:ascii="宋体" w:hAnsi="宋体" w:eastAsia="宋体" w:cs="宋体"/>
          <w:b/>
          <w:bCs/>
          <w:sz w:val="44"/>
          <w:szCs w:val="44"/>
          <w:lang w:val="en-US" w:eastAsia="zh-CN"/>
        </w:rPr>
        <w:t>项目和</w:t>
      </w:r>
    </w:p>
    <w:p>
      <w:pPr>
        <w:keepNext w:val="0"/>
        <w:keepLines w:val="0"/>
        <w:pageBreakBefore w:val="0"/>
        <w:widowControl w:val="0"/>
        <w:kinsoku/>
        <w:wordWrap/>
        <w:overflowPunct/>
        <w:topLinePunct w:val="0"/>
        <w:autoSpaceDE/>
        <w:autoSpaceDN/>
        <w:bidi w:val="0"/>
        <w:snapToGrid w:val="0"/>
        <w:spacing w:line="600" w:lineRule="exact"/>
        <w:ind w:left="0" w:leftChars="0" w:right="0" w:rightChars="0"/>
        <w:jc w:val="center"/>
        <w:textAlignment w:val="auto"/>
        <w:outlineLvl w:val="9"/>
        <w:rPr>
          <w:rFonts w:hint="eastAsia" w:ascii="黑体" w:hAnsi="黑体" w:eastAsia="黑体" w:cs="黑体"/>
          <w:i w:val="0"/>
          <w:iCs w:val="0"/>
          <w:caps w:val="0"/>
          <w:color w:val="333333"/>
          <w:spacing w:val="0"/>
          <w:sz w:val="27"/>
          <w:szCs w:val="27"/>
          <w:shd w:val="clear" w:fill="FFFFFF"/>
        </w:rPr>
      </w:pPr>
      <w:r>
        <w:rPr>
          <w:rFonts w:hint="eastAsia" w:ascii="宋体" w:hAnsi="宋体" w:eastAsia="宋体" w:cs="宋体"/>
          <w:b/>
          <w:bCs/>
          <w:sz w:val="44"/>
          <w:szCs w:val="44"/>
          <w:lang w:eastAsia="zh-CN"/>
        </w:rPr>
        <w:t>资金</w:t>
      </w:r>
      <w:r>
        <w:rPr>
          <w:rFonts w:hint="eastAsia" w:ascii="宋体" w:hAnsi="宋体" w:eastAsia="宋体" w:cs="宋体"/>
          <w:b/>
          <w:bCs/>
          <w:sz w:val="44"/>
          <w:szCs w:val="44"/>
        </w:rPr>
        <w:t>管理</w:t>
      </w:r>
      <w:r>
        <w:rPr>
          <w:rFonts w:hint="eastAsia" w:ascii="宋体" w:hAnsi="宋体" w:eastAsia="宋体" w:cs="宋体"/>
          <w:b/>
          <w:bCs/>
          <w:sz w:val="44"/>
          <w:szCs w:val="44"/>
          <w:lang w:eastAsia="zh-CN"/>
        </w:rPr>
        <w:t>办法</w:t>
      </w:r>
    </w:p>
    <w:p>
      <w:pPr>
        <w:bidi w:val="0"/>
        <w:ind w:firstLine="640" w:firstLineChars="200"/>
        <w:rPr>
          <w:rFonts w:hint="eastAsia" w:ascii="仿宋_GB2312" w:hAnsi="仿宋_GB2312" w:eastAsia="仿宋_GB2312" w:cs="仿宋_GB2312"/>
          <w:sz w:val="32"/>
          <w:szCs w:val="32"/>
        </w:rPr>
      </w:pP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进一步</w:t>
      </w:r>
      <w:r>
        <w:rPr>
          <w:rFonts w:hint="eastAsia" w:ascii="仿宋_GB2312" w:hAnsi="仿宋_GB2312" w:eastAsia="仿宋_GB2312" w:cs="仿宋_GB2312"/>
          <w:sz w:val="32"/>
          <w:szCs w:val="32"/>
        </w:rPr>
        <w:t>加强和规范</w:t>
      </w:r>
      <w:r>
        <w:rPr>
          <w:rFonts w:hint="eastAsia" w:ascii="仿宋_GB2312" w:hAnsi="仿宋_GB2312" w:eastAsia="仿宋_GB2312" w:cs="仿宋_GB2312"/>
          <w:sz w:val="32"/>
          <w:szCs w:val="32"/>
          <w:lang w:val="en-US" w:eastAsia="zh-CN"/>
        </w:rPr>
        <w:t>台山市</w:t>
      </w:r>
      <w:r>
        <w:rPr>
          <w:rFonts w:hint="eastAsia" w:ascii="仿宋_GB2312" w:hAnsi="仿宋_GB2312" w:eastAsia="仿宋_GB2312" w:cs="仿宋_GB2312"/>
          <w:sz w:val="32"/>
          <w:szCs w:val="32"/>
        </w:rPr>
        <w:t>县域商业体系建设项目专项资金（以下简称“专项资金”）管理，提高资金使用效益，根据《</w:t>
      </w:r>
      <w:r>
        <w:rPr>
          <w:rFonts w:hint="eastAsia" w:ascii="仿宋_GB2312" w:hAnsi="仿宋_GB2312" w:eastAsia="仿宋_GB2312" w:cs="仿宋_GB2312"/>
          <w:sz w:val="32"/>
          <w:szCs w:val="32"/>
          <w:lang w:val="en-US" w:eastAsia="zh-CN"/>
        </w:rPr>
        <w:t>关于印发&lt;服务业发展专项资金管理办法&gt;的通知</w:t>
      </w:r>
      <w:r>
        <w:rPr>
          <w:rFonts w:hint="eastAsia" w:ascii="仿宋_GB2312" w:hAnsi="仿宋_GB2312" w:eastAsia="仿宋_GB2312" w:cs="仿宋_GB2312"/>
          <w:sz w:val="32"/>
          <w:szCs w:val="32"/>
        </w:rPr>
        <w:t>》（财建〔2019〕50号）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《财政部办公厅 商务部办公厅 国家乡村振兴局综合司关于支持实施县域商业建设行动的通知》（财办建〔2022〕18号）</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广东省商务厅等3部门关于印发县域商业建设行动项目和资金管理办法</w:t>
      </w:r>
      <w:r>
        <w:rPr>
          <w:rFonts w:hint="eastAsia" w:ascii="仿宋_GB2312" w:hAnsi="仿宋_GB2312" w:eastAsia="仿宋_GB2312" w:cs="仿宋_GB2312"/>
          <w:sz w:val="32"/>
          <w:szCs w:val="32"/>
        </w:rPr>
        <w:t>的通知》（</w:t>
      </w:r>
      <w:r>
        <w:rPr>
          <w:rFonts w:hint="eastAsia" w:ascii="仿宋_GB2312" w:hAnsi="仿宋_GB2312" w:eastAsia="仿宋_GB2312" w:cs="仿宋_GB2312"/>
          <w:sz w:val="32"/>
          <w:szCs w:val="32"/>
          <w:lang w:val="en-US" w:eastAsia="zh-CN"/>
        </w:rPr>
        <w:t>粤商务建函</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6</w:t>
      </w:r>
      <w:r>
        <w:rPr>
          <w:rFonts w:hint="eastAsia" w:ascii="仿宋_GB2312" w:hAnsi="仿宋_GB2312" w:eastAsia="仿宋_GB2312" w:cs="仿宋_GB2312"/>
          <w:sz w:val="32"/>
          <w:szCs w:val="32"/>
        </w:rPr>
        <w:t>号）等文件要求，</w:t>
      </w:r>
      <w:r>
        <w:rPr>
          <w:rFonts w:hint="eastAsia" w:ascii="仿宋_GB2312" w:hAnsi="仿宋_GB2312" w:eastAsia="仿宋_GB2312" w:cs="仿宋_GB2312"/>
          <w:sz w:val="32"/>
          <w:szCs w:val="32"/>
          <w:lang w:val="en-US" w:eastAsia="zh-CN"/>
        </w:rPr>
        <w:t>结合广东省资金使用和项目管理有关工作要求，</w:t>
      </w:r>
      <w:r>
        <w:rPr>
          <w:rFonts w:hint="eastAsia" w:ascii="仿宋_GB2312" w:hAnsi="仿宋_GB2312" w:eastAsia="仿宋_GB2312" w:cs="仿宋_GB2312"/>
          <w:sz w:val="32"/>
          <w:szCs w:val="32"/>
        </w:rPr>
        <w:t>制定本办法。</w:t>
      </w:r>
    </w:p>
    <w:p>
      <w:pPr>
        <w:bidi w:val="0"/>
        <w:jc w:val="center"/>
        <w:rPr>
          <w:rFonts w:hint="eastAsia" w:ascii="黑体" w:hAnsi="黑体" w:eastAsia="黑体" w:cs="黑体"/>
          <w:sz w:val="32"/>
          <w:szCs w:val="32"/>
        </w:rPr>
      </w:pPr>
      <w:r>
        <w:rPr>
          <w:rFonts w:hint="eastAsia" w:ascii="黑体" w:hAnsi="黑体" w:eastAsia="黑体" w:cs="黑体"/>
          <w:sz w:val="32"/>
          <w:szCs w:val="32"/>
        </w:rPr>
        <w:t>第一章</w:t>
      </w:r>
      <w:r>
        <w:rPr>
          <w:rFonts w:hint="default" w:ascii="黑体" w:hAnsi="黑体" w:eastAsia="黑体" w:cs="黑体"/>
          <w:sz w:val="32"/>
          <w:szCs w:val="32"/>
          <w:lang w:val="en-US"/>
        </w:rPr>
        <w:t xml:space="preserve">  </w:t>
      </w:r>
      <w:r>
        <w:rPr>
          <w:rFonts w:hint="eastAsia" w:ascii="黑体" w:hAnsi="黑体" w:eastAsia="黑体" w:cs="黑体"/>
          <w:sz w:val="32"/>
          <w:szCs w:val="32"/>
        </w:rPr>
        <w:t>总则</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w:t>
      </w:r>
      <w:bookmarkStart w:id="0" w:name="_GoBack"/>
      <w:bookmarkEnd w:id="0"/>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rPr>
        <w:t>本办法所称</w:t>
      </w:r>
      <w:r>
        <w:rPr>
          <w:rFonts w:hint="eastAsia" w:ascii="仿宋_GB2312" w:hAnsi="仿宋_GB2312" w:eastAsia="仿宋_GB2312" w:cs="仿宋_GB2312"/>
          <w:sz w:val="32"/>
          <w:szCs w:val="32"/>
          <w:lang w:eastAsia="zh-CN"/>
        </w:rPr>
        <w:t>台山市</w:t>
      </w:r>
      <w:r>
        <w:rPr>
          <w:rFonts w:hint="eastAsia" w:ascii="仿宋_GB2312" w:hAnsi="仿宋_GB2312" w:eastAsia="仿宋_GB2312" w:cs="仿宋_GB2312"/>
          <w:sz w:val="32"/>
          <w:szCs w:val="32"/>
        </w:rPr>
        <w:t>县域商业体系建设专项资金（以下简称“专项资金”），是指</w:t>
      </w:r>
      <w:r>
        <w:rPr>
          <w:rFonts w:hint="eastAsia" w:ascii="仿宋_GB2312" w:hAnsi="仿宋_GB2312" w:eastAsia="仿宋_GB2312" w:cs="仿宋_GB2312"/>
          <w:sz w:val="32"/>
          <w:szCs w:val="32"/>
          <w:lang w:val="en-US" w:eastAsia="zh-CN"/>
        </w:rPr>
        <w:t>安排</w:t>
      </w:r>
      <w:r>
        <w:rPr>
          <w:rFonts w:hint="eastAsia" w:ascii="仿宋_GB2312" w:hAnsi="仿宋_GB2312" w:eastAsia="仿宋_GB2312" w:cs="仿宋_GB2312"/>
          <w:sz w:val="32"/>
          <w:szCs w:val="32"/>
        </w:rPr>
        <w:t>用于</w:t>
      </w:r>
      <w:r>
        <w:rPr>
          <w:rFonts w:hint="eastAsia" w:ascii="仿宋_GB2312" w:hAnsi="仿宋_GB2312" w:eastAsia="仿宋_GB2312" w:cs="仿宋_GB2312"/>
          <w:sz w:val="32"/>
          <w:szCs w:val="32"/>
          <w:lang w:val="en-US" w:eastAsia="zh-CN"/>
        </w:rPr>
        <w:t>发展</w:t>
      </w: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县域商业体系的</w:t>
      </w:r>
      <w:r>
        <w:rPr>
          <w:rFonts w:hint="eastAsia" w:ascii="仿宋_GB2312" w:hAnsi="仿宋_GB2312" w:eastAsia="仿宋_GB2312" w:cs="仿宋_GB2312"/>
          <w:sz w:val="32"/>
          <w:szCs w:val="32"/>
          <w:lang w:val="en-US" w:eastAsia="zh-CN"/>
        </w:rPr>
        <w:t>财政专项</w:t>
      </w:r>
      <w:r>
        <w:rPr>
          <w:rFonts w:hint="eastAsia" w:ascii="仿宋_GB2312" w:hAnsi="仿宋_GB2312" w:eastAsia="仿宋_GB2312" w:cs="仿宋_GB2312"/>
          <w:sz w:val="32"/>
          <w:szCs w:val="32"/>
        </w:rPr>
        <w:t>资金。</w:t>
      </w:r>
    </w:p>
    <w:p>
      <w:pPr>
        <w:bidi w:val="0"/>
        <w:ind w:firstLine="64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lang w:val="en-US"/>
        </w:rPr>
        <w:t xml:space="preserve">  </w:t>
      </w:r>
      <w:r>
        <w:rPr>
          <w:rFonts w:hint="eastAsia" w:ascii="仿宋_GB2312" w:hAnsi="仿宋_GB2312" w:eastAsia="仿宋_GB2312" w:cs="仿宋_GB2312"/>
          <w:sz w:val="32"/>
          <w:szCs w:val="32"/>
          <w:highlight w:val="none"/>
          <w:lang w:val="en-US" w:eastAsia="zh-CN"/>
        </w:rPr>
        <w:t>市科工商务局</w:t>
      </w:r>
      <w:r>
        <w:rPr>
          <w:rFonts w:hint="eastAsia" w:ascii="仿宋_GB2312" w:hAnsi="仿宋_GB2312" w:eastAsia="仿宋_GB2312" w:cs="仿宋_GB2312"/>
          <w:sz w:val="32"/>
          <w:szCs w:val="32"/>
          <w:highlight w:val="none"/>
        </w:rPr>
        <w:t>负责项目的业务指导、日常监管、绩效评价和验收项目，</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财政局负责专项资金下达、拨付、协助绩效管理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监督检查</w:t>
      </w:r>
      <w:r>
        <w:rPr>
          <w:rFonts w:hint="eastAsia" w:ascii="仿宋_GB2312" w:hAnsi="仿宋_GB2312" w:eastAsia="仿宋_GB2312" w:cs="仿宋_GB2312"/>
          <w:sz w:val="32"/>
          <w:szCs w:val="32"/>
          <w:highlight w:val="none"/>
          <w:lang w:eastAsia="zh-CN"/>
        </w:rPr>
        <w:t>和验收项目</w:t>
      </w:r>
      <w:r>
        <w:rPr>
          <w:rFonts w:hint="eastAsia" w:ascii="仿宋_GB2312" w:hAnsi="仿宋_GB2312" w:eastAsia="仿宋_GB2312" w:cs="仿宋_GB2312"/>
          <w:sz w:val="32"/>
          <w:szCs w:val="32"/>
          <w:highlight w:val="none"/>
        </w:rPr>
        <w:t>，市农业农村局负责协助绩效管理、监督检查和验收项目。</w:t>
      </w:r>
    </w:p>
    <w:p>
      <w:pPr>
        <w:bidi w:val="0"/>
        <w:jc w:val="center"/>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rPr>
        <w:t xml:space="preserve">  </w:t>
      </w:r>
      <w:r>
        <w:rPr>
          <w:rFonts w:hint="eastAsia" w:ascii="黑体" w:hAnsi="黑体" w:eastAsia="黑体" w:cs="黑体"/>
          <w:sz w:val="32"/>
          <w:szCs w:val="32"/>
          <w:lang w:val="en-US" w:eastAsia="zh-CN"/>
        </w:rPr>
        <w:t>专项资金</w:t>
      </w:r>
      <w:r>
        <w:rPr>
          <w:rFonts w:hint="eastAsia" w:ascii="黑体" w:hAnsi="黑体" w:eastAsia="黑体" w:cs="黑体"/>
          <w:sz w:val="32"/>
          <w:szCs w:val="32"/>
        </w:rPr>
        <w:t>支持</w:t>
      </w:r>
      <w:r>
        <w:rPr>
          <w:rFonts w:hint="eastAsia" w:ascii="黑体" w:hAnsi="黑体" w:eastAsia="黑体" w:cs="黑体"/>
          <w:sz w:val="32"/>
          <w:szCs w:val="32"/>
          <w:lang w:val="en-US" w:eastAsia="zh-CN"/>
        </w:rPr>
        <w:t>对象和支持方向</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专项资金的支持对象应在我市辖区范围内有实体、有实际运营、实际融入和推动台山经济民生发展，不支持中介机构、招标代理机构、培训机构等主营业务与县域商业建设行动关联不紧密的单位参与项目建设。</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专项资金支持方向</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（一）补齐县域商业基础设施短板。以人口相对聚集的乡镇为重点，</w:t>
      </w:r>
      <w:r>
        <w:rPr>
          <w:rFonts w:hint="eastAsia" w:ascii="仿宋_GB2312" w:hAnsi="仿宋_GB2312" w:eastAsia="仿宋_GB2312" w:cs="仿宋_GB2312"/>
          <w:sz w:val="32"/>
          <w:szCs w:val="32"/>
        </w:rPr>
        <w:t>支持升级改造一批商贸中心、大中型超市、集贸市场等，完善冷藏、陈列、打包、结算、食品加工等设施设备。鼓励连锁商贸流通企业、电子商务平台等下沉农村，加强数字赋能，发展连锁经营和电子商务，拓展消费新业态新场景，打造乡镇商业集聚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重点支持方向</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（二）完善县乡村三级物流配送体系。</w:t>
      </w:r>
      <w:r>
        <w:rPr>
          <w:rFonts w:hint="eastAsia" w:ascii="仿宋_GB2312" w:hAnsi="仿宋_GB2312" w:eastAsia="仿宋_GB2312" w:cs="仿宋_GB2312"/>
          <w:sz w:val="32"/>
          <w:szCs w:val="32"/>
          <w:lang w:val="en-US" w:eastAsia="zh-CN"/>
        </w:rPr>
        <w:t>发挥县城和乡镇物流枢纽作为，</w:t>
      </w:r>
      <w:r>
        <w:rPr>
          <w:rFonts w:hint="eastAsia" w:ascii="仿宋_GB2312" w:hAnsi="仿宋_GB2312" w:eastAsia="仿宋_GB2312" w:cs="仿宋_GB2312"/>
          <w:sz w:val="32"/>
          <w:szCs w:val="32"/>
        </w:rPr>
        <w:t>支持建设改造一批县级物流配送中心和乡镇快递物流站点，完善仓储、分拣、包装、装卸、运输、配送等设施，增强对乡村的辐射能力。整合县域邮政、供销、快递、商贸等物流资源，发挥连锁商贸流通企业自建物流优势，开展日用消费品、农资下乡和农产品进城等物流快递共同配送服务，降低物流成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重点支持方向</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改善优化县域消费渠道。引导大型流通企业下沉供应链，布局一批县域前置仓、物流仓储等设施，提供直供直销、集中采购、统一配送、库存管理等服务，让农民直购好产品、新产品。鼓励本地商贸流通企业组建联合采购平台，加大农村地区商品投放力度。发展购物、餐饮、亲子、娱乐、农资等多种业态，承接市民下乡和农民进城消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重点支持方向</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增强农村产品上行动能。引导商贸、电商、快递、物流企业围绕农村产品上行，建设分拣、预冷、初加工、配送等商品化处理设施，加强标准和品牌应用，提高农村产品商品转化率。整合现有县乡村电子商务服务网点，统筹产品开发、设计、营销、品牌等服务，拓宽农村产品上行渠道，提高农村电子商务应用水平</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提高生活服务供给质量。引导农村邮政、供销、电商、商贸流通企业从传统批发、零售向综合性服务转变，整合购物、订餐、家政、职介、租赁、同城配送等服务，提高社区、村镇生活服务的便捷性和服务质量。引导商贸流通、电子商务、生活服务与现代农业、乡村旅游、加工制造等特色产业跨界融合，增强服务业推动生产、促进流通、扩大消费的功能</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（六）推进绿色智能家电下乡。支持品牌影响力大、家电营销售后网络健全的大型流通企业以县城、乡镇为重点，改造提升家电销售网络、仓储配送中心、售后维修和家电回收服务网点。</w:t>
      </w:r>
    </w:p>
    <w:p>
      <w:pPr>
        <w:bidi w:val="0"/>
        <w:ind w:firstLine="64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第五条</w:t>
      </w:r>
      <w:r>
        <w:rPr>
          <w:rFonts w:hint="eastAsia" w:ascii="仿宋_GB2312" w:hAnsi="仿宋_GB2312" w:eastAsia="仿宋_GB2312" w:cs="仿宋_GB2312"/>
          <w:sz w:val="32"/>
          <w:szCs w:val="32"/>
          <w:lang w:val="en-US" w:eastAsia="zh-CN"/>
        </w:rPr>
        <w:t xml:space="preserve">  项目选择要求</w:t>
      </w:r>
    </w:p>
    <w:p>
      <w:pPr>
        <w:bidi w:val="0"/>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（一）</w:t>
      </w:r>
      <w:r>
        <w:rPr>
          <w:rFonts w:hint="eastAsia" w:ascii="仿宋_GB2312" w:hAnsi="仿宋_GB2312" w:eastAsia="仿宋_GB2312" w:cs="仿宋_GB2312"/>
          <w:sz w:val="32"/>
          <w:szCs w:val="32"/>
          <w:lang w:val="en-US" w:eastAsia="zh-CN"/>
        </w:rPr>
        <w:t>关注本地县域流通方面的短板，结合申报支持方向，重点选择支持完善乡镇商贸流通设施、县乡镇村三级农村物流配送体系特别是镇村之间的物流配送体系，确保优质产品和服务顺畅下沉至农村地区；</w:t>
      </w:r>
    </w:p>
    <w:p>
      <w:pPr>
        <w:bidi w:val="0"/>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（二）</w:t>
      </w:r>
      <w:r>
        <w:rPr>
          <w:rFonts w:hint="eastAsia" w:ascii="仿宋_GB2312" w:hAnsi="仿宋_GB2312" w:eastAsia="仿宋_GB2312" w:cs="仿宋_GB2312"/>
          <w:sz w:val="32"/>
          <w:szCs w:val="32"/>
          <w:lang w:val="en-US" w:eastAsia="zh-CN"/>
        </w:rPr>
        <w:t>不开展形式主义的、形象的、展示的项目，项目应切实回应解决本地农村居民对美好生活的实际需求。</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项目申报与资金分配</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第六条</w:t>
      </w:r>
      <w:r>
        <w:rPr>
          <w:rFonts w:hint="eastAsia" w:ascii="仿宋_GB2312" w:hAnsi="仿宋_GB2312" w:eastAsia="仿宋_GB2312" w:cs="仿宋_GB2312"/>
          <w:sz w:val="32"/>
          <w:szCs w:val="32"/>
          <w:lang w:val="en-US" w:eastAsia="zh-CN"/>
        </w:rPr>
        <w:t xml:space="preserve">  资金使用具体步骤和要求</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建立台山市县域商业建设行动项目库。进一步完善项目库，建立项目动态调整机制，完善入库申报、项目清单、入库审核等文件材料；</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跟踪项目进展。市科工商务局牵头做好工作指导，协调推动解决项目开展中的问题，及时发现项目进程偏差，确保项目进度、资金使用等符合要求；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提出验收申请。项目实施完成并取得发票后，实施单位委托第三方机构进行符合支持范围投入审计，向市科工商务局提出验收申请，提交验收材料；</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县级验收。县级应选定第三方机构对实施单位提交的验收申请材料进行验收审核。验收机构应在项目实施期内随时接受和处理验收申请。验收通过后向市级上报验收报告、项目验收材料、项目清单等复核材料； </w:t>
      </w:r>
    </w:p>
    <w:p>
      <w:pPr>
        <w:bidi w:val="0"/>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资金拨付。资金使用原则上直达基层，由县级拨付，对信誉良好、项目和资金管理制度落实到位的实施单位，可视情进行预拨付，在验收阶段进行清算。 </w:t>
      </w:r>
    </w:p>
    <w:p>
      <w:pPr>
        <w:bidi w:val="0"/>
        <w:ind w:firstLine="642" w:firstLineChars="200"/>
        <w:rPr>
          <w:rFonts w:hint="eastAsia" w:ascii="仿宋_GB2312" w:hAnsi="仿宋_GB2312" w:eastAsia="仿宋_GB2312" w:cs="仿宋_GB2312"/>
          <w:i w:val="0"/>
          <w:iCs w:val="0"/>
          <w:sz w:val="32"/>
          <w:szCs w:val="32"/>
          <w:highlight w:val="none"/>
        </w:rPr>
      </w:pPr>
      <w:r>
        <w:rPr>
          <w:rFonts w:hint="eastAsia" w:ascii="仿宋_GB2312" w:hAnsi="仿宋_GB2312" w:eastAsia="仿宋_GB2312" w:cs="仿宋_GB2312"/>
          <w:b/>
          <w:bCs/>
          <w:sz w:val="32"/>
          <w:szCs w:val="32"/>
          <w:highlight w:val="none"/>
          <w:lang w:val="en-US" w:eastAsia="zh-CN"/>
        </w:rPr>
        <w:t>第七条</w:t>
      </w:r>
      <w:r>
        <w:rPr>
          <w:rFonts w:hint="eastAsia" w:ascii="仿宋_GB2312" w:hAnsi="仿宋_GB2312" w:eastAsia="仿宋_GB2312" w:cs="仿宋_GB2312"/>
          <w:sz w:val="32"/>
          <w:szCs w:val="32"/>
          <w:highlight w:val="none"/>
          <w:lang w:val="en-US" w:eastAsia="zh-CN"/>
        </w:rPr>
        <w:t xml:space="preserve">  市科工商务局、市财政局和市农业农村局等有关单位要</w:t>
      </w:r>
      <w:r>
        <w:rPr>
          <w:rFonts w:hint="eastAsia" w:ascii="仿宋_GB2312" w:hAnsi="仿宋_GB2312" w:eastAsia="仿宋_GB2312" w:cs="仿宋_GB2312"/>
          <w:i w:val="0"/>
          <w:iCs w:val="0"/>
          <w:sz w:val="32"/>
          <w:szCs w:val="32"/>
          <w:highlight w:val="none"/>
          <w:lang w:val="en-US" w:eastAsia="zh-CN"/>
        </w:rPr>
        <w:t>严格、认真审核项目材料，确保支出合规、票据规范、不出纰漏，经得起检查。</w:t>
      </w:r>
    </w:p>
    <w:p>
      <w:pPr>
        <w:bidi w:val="0"/>
        <w:jc w:val="center"/>
        <w:rPr>
          <w:rFonts w:hint="eastAsia" w:ascii="黑体" w:hAnsi="黑体" w:eastAsia="黑体" w:cs="黑体"/>
          <w:sz w:val="32"/>
          <w:szCs w:val="32"/>
        </w:rPr>
      </w:pPr>
      <w:r>
        <w:rPr>
          <w:rFonts w:hint="eastAsia" w:ascii="黑体" w:hAnsi="黑体" w:eastAsia="黑体" w:cs="黑体"/>
          <w:sz w:val="32"/>
          <w:szCs w:val="32"/>
          <w:lang w:val="en-US" w:eastAsia="zh-CN"/>
        </w:rPr>
        <w:t>第四章  项目和资金管理</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第八条</w:t>
      </w:r>
      <w:r>
        <w:rPr>
          <w:rFonts w:hint="eastAsia" w:ascii="仿宋_GB2312" w:hAnsi="仿宋_GB2312" w:eastAsia="仿宋_GB2312" w:cs="仿宋_GB2312"/>
          <w:sz w:val="32"/>
          <w:szCs w:val="32"/>
          <w:lang w:val="en-US" w:eastAsia="zh-CN"/>
        </w:rPr>
        <w:t xml:space="preserve">  项目入库。项目入库申报应至少包含如下内容：支持对象要求、支持方向、支持方式、支持时间、不支持支出范围、申报程序、申报材料要求。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第九条</w:t>
      </w:r>
      <w:r>
        <w:rPr>
          <w:rFonts w:hint="eastAsia" w:ascii="仿宋_GB2312" w:hAnsi="仿宋_GB2312" w:eastAsia="仿宋_GB2312" w:cs="仿宋_GB2312"/>
          <w:sz w:val="32"/>
          <w:szCs w:val="32"/>
          <w:lang w:val="en-US" w:eastAsia="zh-CN"/>
        </w:rPr>
        <w:t xml:space="preserve">  入库审核。市科工商务局应牵头组织对申报项目进行入库审核，确保符合工作意图、支持方向和资金使用管理要求。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第十条</w:t>
      </w:r>
      <w:r>
        <w:rPr>
          <w:rFonts w:hint="eastAsia" w:ascii="仿宋_GB2312" w:hAnsi="仿宋_GB2312" w:eastAsia="仿宋_GB2312" w:cs="仿宋_GB2312"/>
          <w:sz w:val="32"/>
          <w:szCs w:val="32"/>
          <w:lang w:val="en-US" w:eastAsia="zh-CN"/>
        </w:rPr>
        <w:t xml:space="preserve">  对入库项目进行现场核查。核实项目真实性，评估实施现场是否与入库申报材料一致。现场核查可委托镇街一级开展。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备案。市科工商局应向市级商务部门备案项目，以便上级可跟踪项目具体落实情况。备案可采取抄送件、报送件等方式。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第十二条</w:t>
      </w:r>
      <w:r>
        <w:rPr>
          <w:rFonts w:hint="eastAsia" w:ascii="仿宋_GB2312" w:hAnsi="仿宋_GB2312" w:eastAsia="仿宋_GB2312" w:cs="仿宋_GB2312"/>
          <w:sz w:val="32"/>
          <w:szCs w:val="32"/>
          <w:lang w:val="en-US" w:eastAsia="zh-CN"/>
        </w:rPr>
        <w:t xml:space="preserve">  验收。建立项目验收机制，选定日常验收机构，在实施项目完成后可随时、不定期地接受实施单位的验收申请，以提高工作效率，加快资金拨付流程。应要求实施单位在验收时提交会计师事务所对资金投入的审计报告。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第十三条</w:t>
      </w:r>
      <w:r>
        <w:rPr>
          <w:rFonts w:hint="eastAsia" w:ascii="仿宋_GB2312" w:hAnsi="仿宋_GB2312" w:eastAsia="仿宋_GB2312" w:cs="仿宋_GB2312"/>
          <w:sz w:val="32"/>
          <w:szCs w:val="32"/>
          <w:lang w:val="en-US" w:eastAsia="zh-CN"/>
        </w:rPr>
        <w:t xml:space="preserve">  项目的调整和取消。新增项目的，应完善相关项目入库程序。在各类检查中认为不符合支持方向的，或实施内容确有必要进行调整的，可予调整或取消。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第十四条</w:t>
      </w:r>
      <w:r>
        <w:rPr>
          <w:rFonts w:hint="eastAsia" w:ascii="仿宋_GB2312" w:hAnsi="仿宋_GB2312" w:eastAsia="仿宋_GB2312" w:cs="仿宋_GB2312"/>
          <w:sz w:val="32"/>
          <w:szCs w:val="32"/>
          <w:lang w:val="en-US" w:eastAsia="zh-CN"/>
        </w:rPr>
        <w:t xml:space="preserve">  专项资金的支持范围。不支持征地拆迁、罚款、捐款、赞助、投资、偿还债务、发工资、提取工作经费。相关明显与乡村建设工作意图无关的支出，不应使用财政资金进行冲抵。</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第十五条</w:t>
      </w:r>
      <w:r>
        <w:rPr>
          <w:rFonts w:hint="eastAsia" w:ascii="仿宋_GB2312" w:hAnsi="仿宋_GB2312" w:eastAsia="仿宋_GB2312" w:cs="仿宋_GB2312"/>
          <w:sz w:val="32"/>
          <w:szCs w:val="32"/>
          <w:lang w:val="en-US" w:eastAsia="zh-CN"/>
        </w:rPr>
        <w:t xml:space="preserve">  支持比例和金额。不超过符合支持范围支出的40%。不超过项目申请支持金额。每个项目支持金额不超过200万元。</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第十六条</w:t>
      </w:r>
      <w:r>
        <w:rPr>
          <w:rFonts w:hint="eastAsia" w:ascii="仿宋_GB2312" w:hAnsi="仿宋_GB2312" w:eastAsia="仿宋_GB2312" w:cs="仿宋_GB2312"/>
          <w:sz w:val="32"/>
          <w:szCs w:val="32"/>
          <w:lang w:val="en-US" w:eastAsia="zh-CN"/>
        </w:rPr>
        <w:t xml:space="preserve">  资金的回收。对已落实支持资金的项目单位， </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后续检查发现问题的，予以追回。在本级项目主管部门作出回收资金的决定后，应督促项目单位及时完成回收。对拒不清退财政资金的，依法采取行政强制手段追缴，同时落实联合惩戒机制。</w:t>
      </w:r>
    </w:p>
    <w:p>
      <w:pPr>
        <w:bidi w:val="0"/>
        <w:jc w:val="center"/>
        <w:rPr>
          <w:rFonts w:hint="eastAsia" w:ascii="黑体" w:hAnsi="黑体" w:eastAsia="黑体" w:cs="黑体"/>
          <w:sz w:val="32"/>
          <w:szCs w:val="32"/>
        </w:rPr>
      </w:pPr>
      <w:r>
        <w:rPr>
          <w:rFonts w:hint="eastAsia" w:ascii="黑体" w:hAnsi="黑体" w:eastAsia="黑体" w:cs="黑体"/>
          <w:sz w:val="32"/>
          <w:szCs w:val="32"/>
          <w:lang w:val="en-US" w:eastAsia="zh-CN"/>
        </w:rPr>
        <w:t>第五章</w:t>
      </w:r>
      <w:r>
        <w:rPr>
          <w:rFonts w:hint="default" w:ascii="黑体" w:hAnsi="黑体" w:eastAsia="黑体" w:cs="黑体"/>
          <w:sz w:val="32"/>
          <w:szCs w:val="32"/>
          <w:lang w:val="en-US" w:eastAsia="zh-CN"/>
        </w:rPr>
        <w:t xml:space="preserve"> </w:t>
      </w:r>
      <w:r>
        <w:rPr>
          <w:rFonts w:hint="eastAsia" w:ascii="黑体" w:hAnsi="黑体" w:eastAsia="黑体" w:cs="黑体"/>
          <w:sz w:val="32"/>
          <w:szCs w:val="32"/>
          <w:lang w:val="en-US" w:eastAsia="zh-CN"/>
        </w:rPr>
        <w:t xml:space="preserve"> 项目跟踪、宣传和推广</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第十七条</w:t>
      </w:r>
      <w:r>
        <w:rPr>
          <w:rFonts w:hint="eastAsia" w:ascii="仿宋_GB2312" w:hAnsi="仿宋_GB2312" w:eastAsia="仿宋_GB2312" w:cs="仿宋_GB2312"/>
          <w:sz w:val="32"/>
          <w:szCs w:val="32"/>
          <w:lang w:val="en-US" w:eastAsia="zh-CN"/>
        </w:rPr>
        <w:t xml:space="preserve">  市科工商务局应跟踪、统计并上报财政资金实际支出进度，比对项目下达文件、资金支出凭证等材料，确保实际支出进度的真实性和准确性，有关情况及时报告。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第十八条</w:t>
      </w:r>
      <w:r>
        <w:rPr>
          <w:rFonts w:hint="eastAsia" w:ascii="仿宋_GB2312" w:hAnsi="仿宋_GB2312" w:eastAsia="仿宋_GB2312" w:cs="仿宋_GB2312"/>
          <w:sz w:val="32"/>
          <w:szCs w:val="32"/>
          <w:lang w:val="en-US" w:eastAsia="zh-CN"/>
        </w:rPr>
        <w:t xml:space="preserve">  各有关部门要强化对项目建设的管理，建立日常项目跟踪机制，完善项目管理、资金管理等各项工作制度，及时指导和协调解决项目实施中遇到的困难和问题，确保项目按期保质完成，加强财政资金对项目实施的推动引领、示范带动作用。对中央资金投入形成固定资产的，应明确权属和管理服务部门，增强可持续经营能力。对确须调整实施内容或延长项目实施期限的，要认真核实，及时审批。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第十九条</w:t>
      </w:r>
      <w:r>
        <w:rPr>
          <w:rFonts w:hint="eastAsia" w:ascii="仿宋_GB2312" w:hAnsi="仿宋_GB2312" w:eastAsia="仿宋_GB2312" w:cs="仿宋_GB2312"/>
          <w:sz w:val="32"/>
          <w:szCs w:val="32"/>
          <w:lang w:val="en-US" w:eastAsia="zh-CN"/>
        </w:rPr>
        <w:t xml:space="preserve">  各有关部门单位要督促项目单位按实施计划加快执行进度，严格按照财务规章制度和会计核算办法进行账务处理，及时取得支持期限内票据，以免延误验收进程。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第二十条</w:t>
      </w:r>
      <w:r>
        <w:rPr>
          <w:rFonts w:hint="eastAsia" w:ascii="仿宋_GB2312" w:hAnsi="仿宋_GB2312" w:eastAsia="仿宋_GB2312" w:cs="仿宋_GB2312"/>
          <w:sz w:val="32"/>
          <w:szCs w:val="32"/>
          <w:lang w:val="en-US" w:eastAsia="zh-CN"/>
        </w:rPr>
        <w:t xml:space="preserve">  市科工商务局要跟踪项目进展及补助资金使用情况，建立项目及资金管理情况台账，做到资料详实、手续齐备、程序合规、查验方便。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第二十一条</w:t>
      </w:r>
      <w:r>
        <w:rPr>
          <w:rFonts w:hint="eastAsia" w:ascii="仿宋_GB2312" w:hAnsi="仿宋_GB2312" w:eastAsia="仿宋_GB2312" w:cs="仿宋_GB2312"/>
          <w:sz w:val="32"/>
          <w:szCs w:val="32"/>
          <w:lang w:val="en-US" w:eastAsia="zh-CN"/>
        </w:rPr>
        <w:t xml:space="preserve">  市科工商务局要及时跟进项目的进展情况，建立日常监督检查机制，及时指导项目单位纠正执行中的偏差，调整、暂缓或停止偏差严重的项目，确保绩效目标如期保质完成。对所有项目均应落实日常的跟踪检查。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sz w:val="32"/>
          <w:szCs w:val="32"/>
          <w:lang w:val="en-US" w:eastAsia="zh-CN"/>
        </w:rPr>
        <w:t>第二十二条</w:t>
      </w:r>
      <w:r>
        <w:rPr>
          <w:rFonts w:hint="eastAsia" w:ascii="仿宋_GB2312" w:hAnsi="仿宋_GB2312" w:eastAsia="仿宋_GB2312" w:cs="仿宋_GB2312"/>
          <w:sz w:val="32"/>
          <w:szCs w:val="32"/>
          <w:lang w:val="en-US" w:eastAsia="zh-CN"/>
        </w:rPr>
        <w:t xml:space="preserve">  市科工商务局要重视统计和监测工作，加强对各项绩效目标完成度的跟踪统计，完善对县域流通体系发展相关指标如重点商贸流通企业、县域流通网点、商贸中心、县镇村物流配送点设置和数量、业务量等方面指标的统计监测，为县域发展和政策制订提供量化依据。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第二十三条</w:t>
      </w:r>
      <w:r>
        <w:rPr>
          <w:rFonts w:hint="eastAsia" w:ascii="仿宋_GB2312" w:hAnsi="仿宋_GB2312" w:eastAsia="仿宋_GB2312" w:cs="仿宋_GB2312"/>
          <w:sz w:val="32"/>
          <w:szCs w:val="32"/>
          <w:lang w:val="en-US" w:eastAsia="zh-CN"/>
        </w:rPr>
        <w:t xml:space="preserve">  各有关部门单位要重视项目实施成效宣传和总结工作，多渠道宣传工作成效，引导更多企业及相关主体积极参与县域流通发展事业，总结做法和亮点，形成可复制、可推广的创新模式。应督促项目单位在醒目位置设置国家县域商业建设行动相关推广名称及标识。</w:t>
      </w:r>
    </w:p>
    <w:p>
      <w:pPr>
        <w:bidi w:val="0"/>
        <w:jc w:val="center"/>
        <w:rPr>
          <w:rFonts w:hint="eastAsia" w:ascii="黑体" w:hAnsi="黑体" w:eastAsia="黑体" w:cs="黑体"/>
          <w:sz w:val="32"/>
          <w:szCs w:val="32"/>
        </w:rPr>
      </w:pPr>
      <w:r>
        <w:rPr>
          <w:rFonts w:hint="eastAsia" w:ascii="黑体" w:hAnsi="黑体" w:eastAsia="黑体" w:cs="黑体"/>
          <w:sz w:val="32"/>
          <w:szCs w:val="32"/>
          <w:lang w:val="en-US" w:eastAsia="zh-CN"/>
        </w:rPr>
        <w:t xml:space="preserve">第六章 </w:t>
      </w:r>
      <w:r>
        <w:rPr>
          <w:rFonts w:hint="default" w:ascii="黑体" w:hAnsi="黑体" w:eastAsia="黑体" w:cs="黑体"/>
          <w:sz w:val="32"/>
          <w:szCs w:val="32"/>
          <w:lang w:val="en-US" w:eastAsia="zh-CN"/>
        </w:rPr>
        <w:t xml:space="preserve"> </w:t>
      </w:r>
      <w:r>
        <w:rPr>
          <w:rFonts w:hint="eastAsia" w:ascii="黑体" w:hAnsi="黑体" w:eastAsia="黑体" w:cs="黑体"/>
          <w:sz w:val="32"/>
          <w:szCs w:val="32"/>
          <w:lang w:val="en-US" w:eastAsia="zh-CN"/>
        </w:rPr>
        <w:t>项目承担单位</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第二十四条</w:t>
      </w:r>
      <w:r>
        <w:rPr>
          <w:rFonts w:hint="eastAsia" w:ascii="仿宋_GB2312" w:hAnsi="仿宋_GB2312" w:eastAsia="仿宋_GB2312" w:cs="仿宋_GB2312"/>
          <w:sz w:val="32"/>
          <w:szCs w:val="32"/>
          <w:lang w:val="en-US" w:eastAsia="zh-CN"/>
        </w:rPr>
        <w:t xml:space="preserve">  各项目承担单位应严格落实项目申报指南、下达文件各项要求，确保项目实施方向合规、票据真实，对获得的专项资金应专款专用、单独核算，不得弄虚作假、充数做账等方式套取财政专项资金。对于违反有关财政资金使用规定要求的，将视情取消扶持资格，收回扶持资金，列入财政补助黑名单，落实惩戒机制，不得再次申请任何财政资金支持。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第二十五条</w:t>
      </w:r>
      <w:r>
        <w:rPr>
          <w:rFonts w:hint="eastAsia" w:ascii="仿宋_GB2312" w:hAnsi="仿宋_GB2312" w:eastAsia="仿宋_GB2312" w:cs="仿宋_GB2312"/>
          <w:sz w:val="32"/>
          <w:szCs w:val="32"/>
          <w:lang w:val="en-US" w:eastAsia="zh-CN"/>
        </w:rPr>
        <w:t xml:space="preserve">  各项目承担单位要加快申报建设内容实施进度，及时取得建设期内发票，确需调整实施内容或延长实施期限的，应及时向示范地区商务部门提出申请。在项目建设完成后，及时安排第三方会计师事务所进行资金投入审计，出具审计报告后及时向示范地区商务主管部门提请验收。审计报告应详细罗列符合支持范围的支出发票清单，以便进行验收审核。 </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第二十六条</w:t>
      </w:r>
      <w:r>
        <w:rPr>
          <w:rFonts w:hint="eastAsia" w:ascii="仿宋_GB2312" w:hAnsi="仿宋_GB2312" w:eastAsia="仿宋_GB2312" w:cs="仿宋_GB2312"/>
          <w:sz w:val="32"/>
          <w:szCs w:val="32"/>
          <w:lang w:val="en-US" w:eastAsia="zh-CN"/>
        </w:rPr>
        <w:t xml:space="preserve">  各项目承担单位要履行财政资金支持相关的工作责任，按要求报送项目实施效果数据，配合开展资金使用绩效评价。要配合开展工作宣传，按要求提供相关宣传材料，如有要求，应在项目醒目位置设置国家县域商业建设行动相关推广名称及标识（提出验收申请前应设置完成）。 </w:t>
      </w:r>
    </w:p>
    <w:p>
      <w:pPr>
        <w:bidi w:val="0"/>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第七章  附 则</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本办法由市科工商务局负责解释。</w:t>
      </w:r>
    </w:p>
    <w:p>
      <w:pPr>
        <w:bidi w:val="0"/>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第二十八条</w:t>
      </w:r>
      <w:r>
        <w:rPr>
          <w:rFonts w:hint="eastAsia" w:ascii="仿宋_GB2312" w:hAnsi="仿宋_GB2312" w:eastAsia="仿宋_GB2312" w:cs="仿宋_GB2312"/>
          <w:sz w:val="32"/>
          <w:szCs w:val="32"/>
          <w:lang w:val="en-US" w:eastAsia="zh-CN"/>
        </w:rPr>
        <w:t xml:space="preserve">  本办法自印发之日起施行，内容有调整的以调整后的为准。</w:t>
      </w:r>
    </w:p>
    <w:p>
      <w:pPr>
        <w:bidi w:val="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7812D1"/>
    <w:rsid w:val="12EF154A"/>
    <w:rsid w:val="18733172"/>
    <w:rsid w:val="19A818DB"/>
    <w:rsid w:val="1AD140AA"/>
    <w:rsid w:val="1C013FAC"/>
    <w:rsid w:val="1C8A0A74"/>
    <w:rsid w:val="1FFF9340"/>
    <w:rsid w:val="22047E75"/>
    <w:rsid w:val="24513E7C"/>
    <w:rsid w:val="25CE26A5"/>
    <w:rsid w:val="2E1745E2"/>
    <w:rsid w:val="310739F7"/>
    <w:rsid w:val="3CA85340"/>
    <w:rsid w:val="3FFF305C"/>
    <w:rsid w:val="489C2C61"/>
    <w:rsid w:val="4FF3688F"/>
    <w:rsid w:val="527C0B8E"/>
    <w:rsid w:val="56BE0A57"/>
    <w:rsid w:val="5AE67C82"/>
    <w:rsid w:val="5C573F0C"/>
    <w:rsid w:val="5D3E5D55"/>
    <w:rsid w:val="5FBB2F31"/>
    <w:rsid w:val="5FE37962"/>
    <w:rsid w:val="6A18561C"/>
    <w:rsid w:val="7A6B091E"/>
    <w:rsid w:val="B6B666A5"/>
    <w:rsid w:val="BA7B23C6"/>
    <w:rsid w:val="BE577E50"/>
    <w:rsid w:val="E7EF784B"/>
    <w:rsid w:val="FAFF6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210</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2023-07-16T03:01:00Z</dcterms:created>
  <dc:creator>ASUS</dc:creator>
  <cp:lastModifiedBy>greatwall</cp:lastModifiedBy>
  <dcterms:modified xsi:type="dcterms:W3CDTF">2023-09-05T17:22:39Z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F12D4BE354F3480591918B2876A8A32E</vt:lpwstr>
  </property>
</Properties>
</file>