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val="0"/>
          <w:sz w:val="44"/>
          <w:szCs w:val="44"/>
        </w:rPr>
      </w:pPr>
      <w:bookmarkStart w:id="0" w:name="_GoBack"/>
      <w:r>
        <w:rPr>
          <w:rFonts w:hint="eastAsia" w:ascii="宋体" w:hAnsi="宋体" w:eastAsia="宋体" w:cs="宋体"/>
          <w:b/>
          <w:bCs w:val="0"/>
          <w:sz w:val="44"/>
          <w:szCs w:val="44"/>
        </w:rPr>
        <w:t>《广东省人力资源和社会保障厅 广东省</w:t>
      </w:r>
    </w:p>
    <w:p>
      <w:pPr>
        <w:jc w:val="center"/>
        <w:rPr>
          <w:rFonts w:hint="eastAsia" w:ascii="宋体" w:hAnsi="宋体" w:eastAsia="宋体" w:cs="宋体"/>
          <w:b/>
          <w:bCs w:val="0"/>
          <w:sz w:val="44"/>
          <w:szCs w:val="44"/>
        </w:rPr>
      </w:pPr>
      <w:r>
        <w:rPr>
          <w:rFonts w:hint="eastAsia" w:ascii="宋体" w:hAnsi="宋体" w:eastAsia="宋体" w:cs="宋体"/>
          <w:b/>
          <w:bCs w:val="0"/>
          <w:sz w:val="44"/>
          <w:szCs w:val="44"/>
        </w:rPr>
        <w:t>财政厅关于调整2023年度我省工伤</w:t>
      </w:r>
    </w:p>
    <w:p>
      <w:pPr>
        <w:jc w:val="center"/>
        <w:rPr>
          <w:rFonts w:hint="eastAsia" w:ascii="宋体" w:hAnsi="宋体" w:eastAsia="宋体" w:cs="宋体"/>
          <w:b/>
          <w:bCs w:val="0"/>
          <w:sz w:val="44"/>
          <w:szCs w:val="44"/>
        </w:rPr>
      </w:pPr>
      <w:r>
        <w:rPr>
          <w:rFonts w:hint="eastAsia" w:ascii="宋体" w:hAnsi="宋体" w:eastAsia="宋体" w:cs="宋体"/>
          <w:b/>
          <w:bCs w:val="0"/>
          <w:sz w:val="44"/>
          <w:szCs w:val="44"/>
        </w:rPr>
        <w:t>保险长期待遇发放标准的通知》</w:t>
      </w:r>
    </w:p>
    <w:p>
      <w:pPr>
        <w:jc w:val="center"/>
        <w:rPr>
          <w:rFonts w:hint="eastAsia" w:ascii="宋体" w:hAnsi="宋体" w:eastAsia="宋体" w:cs="宋体"/>
          <w:b/>
          <w:bCs w:val="0"/>
          <w:sz w:val="44"/>
          <w:szCs w:val="44"/>
        </w:rPr>
      </w:pPr>
      <w:r>
        <w:rPr>
          <w:rFonts w:hint="eastAsia" w:ascii="宋体" w:hAnsi="宋体" w:eastAsia="宋体" w:cs="宋体"/>
          <w:b/>
          <w:bCs w:val="0"/>
          <w:sz w:val="44"/>
          <w:szCs w:val="44"/>
        </w:rPr>
        <w:t>政策解读</w:t>
      </w:r>
    </w:p>
    <w:bookmarkEnd w:id="0"/>
    <w:p>
      <w:pPr>
        <w:rPr>
          <w:rFonts w:hint="eastAsia" w:ascii="宋体" w:hAnsi="宋体" w:eastAsia="宋体" w:cs="宋体"/>
          <w:b/>
          <w:bCs w:val="0"/>
          <w:sz w:val="44"/>
          <w:szCs w:val="44"/>
        </w:rPr>
      </w:pPr>
    </w:p>
    <w:p>
      <w:pPr>
        <w:ind w:firstLine="640"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近日，广东省人力资源和社会保障厅、广东省财政厅印发了《关于调整2023年度我省工伤保险长期待遇发放标准的通知》（简称《通知》）。现就有关内容解读如下：</w:t>
      </w:r>
    </w:p>
    <w:p>
      <w:pPr>
        <w:rPr>
          <w:rFonts w:hint="eastAsia" w:ascii="黑体" w:hAnsi="黑体" w:eastAsia="黑体" w:cs="黑体"/>
          <w:b w:val="0"/>
          <w:bCs/>
          <w:sz w:val="32"/>
          <w:szCs w:val="32"/>
        </w:rPr>
      </w:pPr>
      <w:r>
        <w:rPr>
          <w:rFonts w:hint="eastAsia" w:ascii="仿宋_GB2312" w:hAnsi="仿宋_GB2312" w:eastAsia="仿宋_GB2312" w:cs="仿宋_GB2312"/>
          <w:b w:val="0"/>
          <w:bCs/>
          <w:sz w:val="32"/>
          <w:szCs w:val="32"/>
        </w:rPr>
        <w:t xml:space="preserve">   </w:t>
      </w:r>
      <w:r>
        <w:rPr>
          <w:rFonts w:hint="eastAsia" w:ascii="黑体" w:hAnsi="黑体" w:eastAsia="黑体" w:cs="黑体"/>
          <w:b w:val="0"/>
          <w:bCs/>
          <w:sz w:val="32"/>
          <w:szCs w:val="32"/>
        </w:rPr>
        <w:t xml:space="preserve"> 一、《通知》研究制定的有关背景及依据情况？</w:t>
      </w:r>
    </w:p>
    <w:p>
      <w:pPr>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    为切实保障有关工伤人员基本生活，根据《工伤保险条例》《广东省工伤保险条例》和《人力资源社会保障部关于工伤保险待遇调整和确定机制的指导意见》（人社部发〔2017〕58号）、《广东省人力资源和社会保障厅 广东省财政厅 国家税务总局广东省税务局关于印发广东省工伤保险基金省级统筹实施方案的通知》（粤人社规〔2019〕20号）等有关规定精神，我省决定2023年度继续调整提高工伤保险的伤残津贴、生活护理费、供养亲属抚恤金发放标准。</w:t>
      </w:r>
    </w:p>
    <w:p>
      <w:pPr>
        <w:ind w:firstLine="64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当前，我省工伤伤残津贴、生活护理费、供养亲属抚恤金人均发放标准均位居全国前列，对保障有关工伤人员基本生活发挥了积极作用。近年来，因贯彻落实国家部署持续实施工伤保险阶段降费等助企纾困措施，我省工伤保险基金持续赤字运行。因此，经综合权衡工伤保险长期待遇现有标准水平以及工伤保险基金可支付能力等情况，适当确定了2023年度伤残津贴、生活护理费、供养亲属抚恤金调整额，预计调整后的平均伤残津贴、生活护理费、供养亲属抚恤金仍位居全国前列。</w:t>
      </w:r>
    </w:p>
    <w:p>
      <w:pPr>
        <w:ind w:firstLine="640"/>
        <w:rPr>
          <w:rFonts w:hint="eastAsia" w:ascii="仿宋_GB2312" w:hAnsi="仿宋_GB2312" w:eastAsia="仿宋_GB2312" w:cs="仿宋_GB2312"/>
          <w:b w:val="0"/>
          <w:bCs/>
          <w:sz w:val="32"/>
          <w:szCs w:val="32"/>
        </w:rPr>
      </w:pPr>
    </w:p>
    <w:p>
      <w:pPr>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    </w:t>
      </w:r>
      <w:r>
        <w:rPr>
          <w:rFonts w:hint="eastAsia" w:ascii="黑体" w:hAnsi="黑体" w:eastAsia="黑体" w:cs="黑体"/>
          <w:b w:val="0"/>
          <w:bCs/>
          <w:sz w:val="32"/>
          <w:szCs w:val="32"/>
        </w:rPr>
        <w:t>二、一级至四级伤残津贴是怎么调整的？</w:t>
      </w:r>
    </w:p>
    <w:p>
      <w:pPr>
        <w:ind w:firstLine="64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根据《通知》第一条规定，伤残津贴按照定额调整与适当倾斜相结合的办法进行调整。2022年12月31日前享受一级至四级伤残津贴且2023年1月1日后仍符合继续享受条件的人员，其一级至四级伤残津贴分别每月加发124元、116元、108元、100元。经定额加发调整后，其伤残津贴仍低于“托底线”4611元/月的，按照4611元的标准发放；2023年内首次享受一级至四级伤残津贴人员也执行“托底线”标准，核定的伤残津贴低于4611元/月的，自首次享受之月起调整按4611元标准发放。</w:t>
      </w:r>
    </w:p>
    <w:p>
      <w:pPr>
        <w:ind w:firstLine="640"/>
        <w:rPr>
          <w:rFonts w:hint="eastAsia" w:ascii="仿宋_GB2312" w:hAnsi="仿宋_GB2312" w:eastAsia="仿宋_GB2312" w:cs="仿宋_GB2312"/>
          <w:b w:val="0"/>
          <w:bCs/>
          <w:sz w:val="32"/>
          <w:szCs w:val="32"/>
        </w:rPr>
      </w:pPr>
    </w:p>
    <w:p>
      <w:pPr>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     </w:t>
      </w:r>
      <w:r>
        <w:rPr>
          <w:rFonts w:hint="eastAsia" w:ascii="黑体" w:hAnsi="黑体" w:eastAsia="黑体" w:cs="黑体"/>
          <w:b w:val="0"/>
          <w:bCs/>
          <w:sz w:val="32"/>
          <w:szCs w:val="32"/>
        </w:rPr>
        <w:t>三、生活护理费是怎么调整的？</w:t>
      </w:r>
    </w:p>
    <w:p>
      <w:pPr>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     根据《通知》第二条规定，生活护理费区分为两类人员予以分别调整，即：普遍调整办法和特定人员调整办法，适用于2022年12月31日前享受生活护理费且2023年1月1日后仍符合继续享受条件的人员。</w:t>
      </w:r>
    </w:p>
    <w:p>
      <w:pPr>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    普遍调整办法区分两类地区分别调整：一类地区是2022年本市职工平均工资高于全省职工平均工资的广州、深圳及省本级（执行广州市参数），其2023年度一级至四级生活护理费标准调整至2022年该市职工平均工资的60%、50%、40%、30%比例发放，其中，广州、深圳的计发基数分别按12694元、13730元计算。另一类地区是2022年本市职工平均工资低于全省职工平均工资的其他19个地市，统一按照2022年全省职工平均工资为基数（即计发基数按10577元计算）调整发放，一级至四级生活护理费分别为6346.2元/月、5288.5元/月、4230.8元/月、3173.1元/月。在2023年度内首次享受生活护理费的人员，也按照上述标准予以调整发放。</w:t>
      </w:r>
    </w:p>
    <w:p>
      <w:pPr>
        <w:ind w:firstLine="64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特定人员调整办法：按照普遍调整办法调整的生活护理费标准低于其调整前享受标准降低的人员，作为特定人员暂不按普遍调整办法进行调整，改为在其原享受标准基础上一级至四级生活护理费分别加发130元/月、120元/月、110元/月、100元/月，确保每名生活护理费享受人员标准均有提高。</w:t>
      </w:r>
    </w:p>
    <w:p>
      <w:pPr>
        <w:ind w:firstLine="640"/>
        <w:rPr>
          <w:rFonts w:hint="eastAsia" w:ascii="仿宋_GB2312" w:hAnsi="仿宋_GB2312" w:eastAsia="仿宋_GB2312" w:cs="仿宋_GB2312"/>
          <w:b w:val="0"/>
          <w:bCs/>
          <w:sz w:val="32"/>
          <w:szCs w:val="32"/>
        </w:rPr>
      </w:pPr>
    </w:p>
    <w:p>
      <w:pPr>
        <w:rPr>
          <w:rFonts w:hint="eastAsia" w:ascii="黑体" w:hAnsi="黑体" w:eastAsia="黑体" w:cs="黑体"/>
          <w:b w:val="0"/>
          <w:bCs/>
          <w:sz w:val="32"/>
          <w:szCs w:val="32"/>
        </w:rPr>
      </w:pPr>
      <w:r>
        <w:rPr>
          <w:rFonts w:hint="eastAsia" w:ascii="仿宋_GB2312" w:hAnsi="仿宋_GB2312" w:eastAsia="仿宋_GB2312" w:cs="仿宋_GB2312"/>
          <w:b w:val="0"/>
          <w:bCs/>
          <w:sz w:val="32"/>
          <w:szCs w:val="32"/>
        </w:rPr>
        <w:t xml:space="preserve">    </w:t>
      </w:r>
      <w:r>
        <w:rPr>
          <w:rFonts w:hint="eastAsia" w:ascii="黑体" w:hAnsi="黑体" w:eastAsia="黑体" w:cs="黑体"/>
          <w:b w:val="0"/>
          <w:bCs/>
          <w:sz w:val="32"/>
          <w:szCs w:val="32"/>
        </w:rPr>
        <w:t>四、供养亲属抚恤金是怎么调整的？</w:t>
      </w:r>
    </w:p>
    <w:p>
      <w:pPr>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    根据《通知》第三条规定，供养亲属抚恤金按照定额调整与适当倾斜相结合的办法进行调整。2022年12月31日前享受供养亲属抚恤金且2023年1月1日后仍符合继续享受条件的人员，每人每月定额加发10元，但如属于工亡职工配偶、孤寡老人或孤儿的则每人每月加发15元，属于工亡职工配偶且是孤寡老人的则每人每月加发20元。</w:t>
      </w:r>
    </w:p>
    <w:p>
      <w:pPr>
        <w:ind w:firstLine="64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以2023年所在市城镇居民最低生活保障标准（该市有多个标准的按就高原则确定）作为供养亲属抚恤金“托底线”标准。如果经定额调整后的供养亲属抚恤金，仍低于所在市“托底线”标准的，按照“托底线”标准发放。2023年度内首次享受供养亲属抚恤金人员也执行上述“托底线”标准予以托底调整。</w:t>
      </w:r>
    </w:p>
    <w:p>
      <w:pPr>
        <w:ind w:firstLine="640"/>
        <w:rPr>
          <w:rFonts w:hint="eastAsia" w:ascii="仿宋_GB2312" w:hAnsi="仿宋_GB2312" w:eastAsia="仿宋_GB2312" w:cs="仿宋_GB2312"/>
          <w:b w:val="0"/>
          <w:bCs/>
          <w:sz w:val="32"/>
          <w:szCs w:val="32"/>
        </w:rPr>
      </w:pPr>
    </w:p>
    <w:p>
      <w:pPr>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   </w:t>
      </w:r>
      <w:r>
        <w:rPr>
          <w:rFonts w:hint="eastAsia" w:ascii="黑体" w:hAnsi="黑体" w:eastAsia="黑体" w:cs="黑体"/>
          <w:b w:val="0"/>
          <w:bCs/>
          <w:sz w:val="32"/>
          <w:szCs w:val="32"/>
        </w:rPr>
        <w:t xml:space="preserve"> 五、《通知》的相关规定还有哪些？</w:t>
      </w:r>
    </w:p>
    <w:p>
      <w:pPr>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   （一）五级至六级伤残津贴的标准调整。根据《工伤保险条例》第三十六条规定，与用人单位保留劳动关系的五至六级伤残职工，如不能安排适当工作的，由用人单位按月发放伤残津贴。为了切实保障此类工伤人员基本生活，根据《通知》第四条第一项规定，五级至六级工伤伤残人员于2022年12月31日前已享受且2023年1月1日起仍继续享受伤残津贴的，其用人单位可以参照本通知相关办法予以调整发放标准（五级、六级伤残津贴调整额可参照分别不低于92元/月、84元/月的标准）。</w:t>
      </w:r>
    </w:p>
    <w:p>
      <w:pPr>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   （二）伤残津贴与基本养老金的补差额计算办法。根据《工伤保险条例》第三十五条规定，一级至四级伤残人员达到退休年龄并办理退休手续后，停发伤残津贴，按照规定享受基本养老保险待遇；基本养老保险待遇低于伤残津贴的，由工伤保险基金补足差额。为切实保障此类工伤人员基本生活，根据《通知》第四条第二项规定，对享受基本养老金低于原伤残津贴标准的2023年应补差额的具体计算，以按照本通知规定调整后的同等情形应发伤残津贴标准减去其同期调整后的实际基本养老保险待遇标准计算。举例说明，某原享受四级伤残津贴的工伤人员已办理养老退休手续、停发了伤残津贴待遇，其2023年调整后的领取基本养老金为4000元/月，如按照本通知调整的四级伤残津贴应发为5000元/月，那么，2023年将由工伤保险基金补足差额为1000元/月。</w:t>
      </w:r>
    </w:p>
    <w:p>
      <w:pPr>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    （三）特殊情形的长期待遇处理办法。根据《通知》第四条第三项规定，领取供养亲属抚恤金的人员，因被判刑收监执行期间停止享受抚恤金待遇，在刑满释放后仍符合领取抚恤金资格的，其重新享受抚恤金的发放标准按照原享受标准根据收监执行期间各年度待遇调整政策调整后的数额予以确定，今后按照规定的调整办法予以调整；如在判刑收监执行期间因未停止发放供养亲属抚恤金导致多发的待遇费用，应按照规定予以追回。</w:t>
      </w:r>
    </w:p>
    <w:p>
      <w:pPr>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   （四）相关长期待遇调整费用的支付渠道。本次调整加发的工伤保险长期待遇，所需资金按照《广东省工伤保险条例》有关规定予以支付。即：参加工伤保险的，由工伤保险基金负责支付；未参加工伤保险的，由用人单位负责支付。</w:t>
      </w:r>
    </w:p>
    <w:sectPr>
      <w:pgSz w:w="11906" w:h="16838"/>
      <w:pgMar w:top="2211" w:right="1474" w:bottom="1871" w:left="1587" w:header="851" w:footer="992" w:gutter="0"/>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doNotDisplayPageBoundaries w:val="1"/>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221A2D"/>
    <w:rsid w:val="14507BC1"/>
    <w:rsid w:val="18221A2D"/>
    <w:rsid w:val="4BF3054E"/>
    <w:rsid w:val="549734DD"/>
    <w:rsid w:val="63EC3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方正小标宋简体"/>
      <w:bCs/>
      <w:color w:val="000000" w:themeColor="text1"/>
      <w:kern w:val="2"/>
      <w:sz w:val="32"/>
      <w:szCs w:val="32"/>
      <w:u w:val="none"/>
      <w:lang w:val="en-US" w:eastAsia="zh-CN" w:bidi="ar-SA"/>
      <w14:textFill>
        <w14:solidFill>
          <w14:schemeClr w14:val="tx1"/>
        </w14:solidFill>
      </w14:textFill>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2024-04-08T01:43:00Z</dcterms:created>
  <dc:creator>张金梅</dc:creator>
  <cp:lastModifiedBy>张金梅</cp:lastModifiedBy>
  <dcterms:modified xsi:type="dcterms:W3CDTF">2024-04-08T01:53:36Z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5254C58D934143E19875881CCFE7D530</vt:lpwstr>
  </property>
</Properties>
</file>