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80" w:lineRule="auto"/>
        <w:jc w:val="center"/>
        <w:textAlignment w:val="auto"/>
        <w:rPr>
          <w:rFonts w:hint="eastAsia" w:ascii="黑体" w:hAnsi="黑体" w:eastAsia="黑体"/>
          <w:color w:val="000000"/>
          <w:sz w:val="28"/>
          <w:szCs w:val="28"/>
          <w:lang w:val="en-US" w:eastAsia="zh-CN"/>
        </w:rPr>
      </w:pPr>
      <w:r>
        <w:rPr>
          <w:rFonts w:hint="eastAsia" w:ascii="Times New Roman" w:hAnsi="Times New Roman" w:eastAsia="黑体" w:cs="宋体"/>
          <w:kern w:val="0"/>
          <w:sz w:val="28"/>
          <w:szCs w:val="28"/>
        </w:rPr>
        <w:t>台山市</w:t>
      </w:r>
      <w:r>
        <w:rPr>
          <w:rFonts w:hint="eastAsia" w:ascii="Times New Roman" w:hAnsi="Times New Roman" w:eastAsia="黑体" w:cs="宋体"/>
          <w:kern w:val="0"/>
          <w:sz w:val="28"/>
          <w:szCs w:val="28"/>
          <w:lang w:val="en-US" w:eastAsia="zh-CN"/>
        </w:rPr>
        <w:t>水利</w:t>
      </w:r>
      <w:r>
        <w:rPr>
          <w:rFonts w:hint="eastAsia" w:ascii="Times New Roman" w:hAnsi="Times New Roman" w:eastAsia="黑体" w:cs="宋体"/>
          <w:kern w:val="0"/>
          <w:sz w:val="28"/>
          <w:szCs w:val="28"/>
        </w:rPr>
        <w:t>局二级项目绩效目标表</w:t>
      </w:r>
      <w:r>
        <w:rPr>
          <w:rFonts w:hint="eastAsia" w:ascii="黑体" w:hAnsi="黑体" w:eastAsia="黑体"/>
          <w:color w:val="000000"/>
          <w:sz w:val="28"/>
          <w:szCs w:val="28"/>
          <w:lang w:val="en-US" w:eastAsia="zh-CN"/>
        </w:rPr>
        <w:t>目录</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229"/>
        <w:gridCol w:w="5535"/>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tblHeader/>
          <w:jc w:val="center"/>
        </w:trPr>
        <w:tc>
          <w:tcPr>
            <w:tcW w:w="737" w:type="pct"/>
            <w:shd w:val="clear" w:color="auto" w:fill="auto"/>
            <w:vAlign w:val="center"/>
          </w:tcPr>
          <w:p>
            <w:pPr>
              <w:widowControl/>
              <w:jc w:val="center"/>
              <w:rPr>
                <w:rFonts w:ascii="Times New Roman" w:hAnsi="Times New Roman"/>
                <w:b/>
                <w:color w:val="000000" w:themeColor="text1"/>
                <w:szCs w:val="22"/>
                <w14:textFill>
                  <w14:solidFill>
                    <w14:schemeClr w14:val="tx1"/>
                  </w14:solidFill>
                </w14:textFill>
              </w:rPr>
            </w:pPr>
            <w:r>
              <w:rPr>
                <w:rFonts w:hint="eastAsia" w:ascii="Times New Roman" w:hAnsi="Times New Roman"/>
                <w:b/>
                <w:color w:val="000000" w:themeColor="text1"/>
                <w:szCs w:val="22"/>
                <w14:textFill>
                  <w14:solidFill>
                    <w14:schemeClr w14:val="tx1"/>
                  </w14:solidFill>
                </w14:textFill>
              </w:rPr>
              <w:t>序号</w:t>
            </w:r>
          </w:p>
        </w:tc>
        <w:tc>
          <w:tcPr>
            <w:tcW w:w="3319" w:type="pct"/>
            <w:shd w:val="clear" w:color="auto" w:fill="auto"/>
            <w:vAlign w:val="center"/>
          </w:tcPr>
          <w:p>
            <w:pPr>
              <w:widowControl/>
              <w:jc w:val="center"/>
              <w:rPr>
                <w:rFonts w:ascii="Times New Roman" w:hAnsi="Times New Roman" w:cs="宋体"/>
                <w:b/>
                <w:color w:val="000000" w:themeColor="text1"/>
                <w:kern w:val="0"/>
                <w:szCs w:val="22"/>
                <w14:textFill>
                  <w14:solidFill>
                    <w14:schemeClr w14:val="tx1"/>
                  </w14:solidFill>
                </w14:textFill>
              </w:rPr>
            </w:pPr>
            <w:r>
              <w:rPr>
                <w:rFonts w:hint="eastAsia" w:ascii="Times New Roman" w:hAnsi="Times New Roman" w:cs="宋体"/>
                <w:b/>
                <w:color w:val="000000" w:themeColor="text1"/>
                <w:kern w:val="0"/>
                <w:szCs w:val="22"/>
                <w14:textFill>
                  <w14:solidFill>
                    <w14:schemeClr w14:val="tx1"/>
                  </w14:solidFill>
                </w14:textFill>
              </w:rPr>
              <w:t>二级项目名称</w:t>
            </w:r>
          </w:p>
        </w:tc>
        <w:tc>
          <w:tcPr>
            <w:tcW w:w="942" w:type="pct"/>
            <w:shd w:val="clear" w:color="auto" w:fill="auto"/>
            <w:vAlign w:val="center"/>
          </w:tcPr>
          <w:p>
            <w:pPr>
              <w:widowControl/>
              <w:jc w:val="center"/>
              <w:rPr>
                <w:rFonts w:ascii="Times New Roman" w:hAnsi="Times New Roman" w:cs="宋体"/>
                <w:b/>
                <w:color w:val="000000" w:themeColor="text1"/>
                <w:kern w:val="0"/>
                <w:szCs w:val="22"/>
                <w14:textFill>
                  <w14:solidFill>
                    <w14:schemeClr w14:val="tx1"/>
                  </w14:solidFill>
                </w14:textFill>
              </w:rPr>
            </w:pPr>
            <w:r>
              <w:rPr>
                <w:rFonts w:hint="eastAsia" w:ascii="Times New Roman" w:hAnsi="Times New Roman" w:cs="宋体"/>
                <w:b/>
                <w:color w:val="000000" w:themeColor="text1"/>
                <w:kern w:val="0"/>
                <w:szCs w:val="22"/>
                <w14:textFill>
                  <w14:solidFill>
                    <w14:schemeClr w14:val="tx1"/>
                  </w14:solidFill>
                </w14:textFill>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s="宋体"/>
                <w:color w:val="000000" w:themeColor="text1"/>
                <w:kern w:val="0"/>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新宁水闸运行管理经费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s="宋体"/>
                <w:color w:val="000000" w:themeColor="text1"/>
                <w:kern w:val="0"/>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置换水源工程运行管理经费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s="宋体"/>
                <w:color w:val="000000" w:themeColor="text1"/>
                <w:kern w:val="0"/>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市管水利工程维修养护经费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s="宋体"/>
                <w:color w:val="000000" w:themeColor="text1"/>
                <w:kern w:val="0"/>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市管水利工程单位管理经费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s="宋体"/>
                <w:color w:val="000000" w:themeColor="text1"/>
                <w:kern w:val="0"/>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返销粮</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s="宋体"/>
                <w:color w:val="000000" w:themeColor="text1"/>
                <w:kern w:val="0"/>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6</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三峡移民专项经费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11-12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台山市水资源实时监控信息系统扩建及维护项目</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8</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水利安全生产专项资金</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15-16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潭江项目（台山段）运营期项目经费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17-18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10</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台山市全面推行河长制烽火角水系物业化管理项目</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19-20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11</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河长制办公费、宣传费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12</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在建工程检测费及书籍购买费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23-24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执法装备更新、维护经费和宣传费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25-26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14</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违法案件矿产资源采砂破坏价值鉴定费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27-28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防汛抗旱工作经费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29-30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16</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台山市水利防汛山洪灾害应急专项经费</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31-32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台山市新一轮生活污水处理设施整市捆绑PPP项目绩效考核服务</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33-34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hint="default" w:ascii="Times New Roman" w:hAnsi="Times New Roman" w:eastAsia="宋体"/>
                <w:color w:val="000000" w:themeColor="text1"/>
                <w:szCs w:val="22"/>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18</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民生水利工程配套资金</w:t>
            </w:r>
          </w:p>
        </w:tc>
        <w:tc>
          <w:tcPr>
            <w:tcW w:w="942" w:type="pct"/>
            <w:shd w:val="clear" w:color="auto" w:fill="auto"/>
            <w:vAlign w:val="center"/>
          </w:tcPr>
          <w:p>
            <w:pPr>
              <w:widowControl/>
              <w:jc w:val="center"/>
              <w:rPr>
                <w:rFonts w:hint="default" w:ascii="Times New Roman" w:hAnsi="Times New Roman"/>
                <w:color w:val="000000" w:themeColor="text1"/>
                <w:szCs w:val="22"/>
                <w:lang w:val="en-US"/>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35-36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hint="default" w:ascii="Times New Roman" w:hAnsi="Times New Roman" w:eastAsia="宋体"/>
                <w:color w:val="000000" w:themeColor="text1"/>
                <w:szCs w:val="22"/>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19</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跨界重点支流凤河防洪湖复绿措施费</w:t>
            </w:r>
          </w:p>
        </w:tc>
        <w:tc>
          <w:tcPr>
            <w:tcW w:w="942" w:type="pct"/>
            <w:shd w:val="clear" w:color="auto" w:fill="auto"/>
            <w:vAlign w:val="center"/>
          </w:tcPr>
          <w:p>
            <w:pPr>
              <w:widowControl/>
              <w:jc w:val="center"/>
              <w:rPr>
                <w:rFonts w:hint="default" w:ascii="Times New Roman" w:hAnsi="Times New Roman"/>
                <w:color w:val="000000" w:themeColor="text1"/>
                <w:szCs w:val="22"/>
                <w:lang w:val="en-US"/>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37-38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hint="default" w:ascii="Times New Roman" w:hAnsi="Times New Roman" w:eastAsia="宋体"/>
                <w:color w:val="000000" w:themeColor="text1"/>
                <w:szCs w:val="22"/>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20</w:t>
            </w:r>
          </w:p>
        </w:tc>
        <w:tc>
          <w:tcPr>
            <w:tcW w:w="3319" w:type="pct"/>
            <w:shd w:val="clear" w:color="auto" w:fill="auto"/>
            <w:vAlign w:val="center"/>
          </w:tcPr>
          <w:p>
            <w:pPr>
              <w:keepNext w:val="0"/>
              <w:keepLines w:val="0"/>
              <w:widowControl/>
              <w:suppressLineNumbers w:val="0"/>
              <w:jc w:val="center"/>
              <w:textAlignment w:val="center"/>
              <w:rPr>
                <w:rFonts w:ascii="Times New Roman" w:hAnsi="Times New Roman"/>
                <w:color w:val="000000" w:themeColor="text1"/>
                <w:szCs w:val="22"/>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农业水价综合改革节水奖励</w:t>
            </w:r>
          </w:p>
        </w:tc>
        <w:tc>
          <w:tcPr>
            <w:tcW w:w="942" w:type="pct"/>
            <w:shd w:val="clear" w:color="auto" w:fill="auto"/>
            <w:vAlign w:val="center"/>
          </w:tcPr>
          <w:p>
            <w:pPr>
              <w:widowControl/>
              <w:jc w:val="center"/>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39-40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737" w:type="pct"/>
            <w:shd w:val="clear" w:color="auto" w:fill="auto"/>
            <w:vAlign w:val="center"/>
          </w:tcPr>
          <w:p>
            <w:pPr>
              <w:widowControl/>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21</w:t>
            </w:r>
          </w:p>
        </w:tc>
        <w:tc>
          <w:tcPr>
            <w:tcW w:w="3319" w:type="pct"/>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台山市水利展馆运行维护项目</w:t>
            </w:r>
          </w:p>
        </w:tc>
        <w:tc>
          <w:tcPr>
            <w:tcW w:w="942" w:type="pct"/>
            <w:shd w:val="clear" w:color="auto" w:fill="auto"/>
            <w:vAlign w:val="center"/>
          </w:tcPr>
          <w:p>
            <w:pPr>
              <w:widowControl/>
              <w:jc w:val="center"/>
              <w:rPr>
                <w:rFonts w:hint="default" w:ascii="Times New Roman" w:hAnsi="Times New Roman"/>
                <w:color w:val="000000" w:themeColor="text1"/>
                <w:szCs w:val="22"/>
                <w:lang w:val="en-US" w:eastAsia="zh-CN"/>
                <w14:textFill>
                  <w14:solidFill>
                    <w14:schemeClr w14:val="tx1"/>
                  </w14:solidFill>
                </w14:textFill>
              </w:rPr>
            </w:pPr>
            <w:r>
              <w:rPr>
                <w:rFonts w:hint="eastAsia" w:ascii="Times New Roman" w:hAnsi="Times New Roman"/>
                <w:color w:val="000000" w:themeColor="text1"/>
                <w:szCs w:val="22"/>
                <w:lang w:val="en-US" w:eastAsia="zh-CN"/>
                <w14:textFill>
                  <w14:solidFill>
                    <w14:schemeClr w14:val="tx1"/>
                  </w14:solidFill>
                </w14:textFill>
              </w:rPr>
              <w:t>41-42</w:t>
            </w:r>
          </w:p>
        </w:tc>
      </w:tr>
    </w:tbl>
    <w:p>
      <w:pPr>
        <w:jc w:val="center"/>
        <w:rPr>
          <w:rFonts w:hint="eastAsia" w:ascii="黑体" w:hAnsi="黑体" w:eastAsia="黑体"/>
          <w:sz w:val="28"/>
          <w:szCs w:val="28"/>
        </w:rPr>
      </w:pPr>
    </w:p>
    <w:p>
      <w:pPr>
        <w:jc w:val="center"/>
        <w:rPr>
          <w:rFonts w:hint="eastAsia" w:ascii="黑体" w:hAnsi="黑体" w:eastAsia="黑体"/>
          <w:sz w:val="28"/>
          <w:szCs w:val="28"/>
        </w:rPr>
        <w:sectPr>
          <w:pgSz w:w="11906" w:h="16838"/>
          <w:pgMar w:top="1440" w:right="1800" w:bottom="1440" w:left="1800" w:header="851" w:footer="992" w:gutter="0"/>
          <w:cols w:space="425" w:num="1"/>
          <w:docGrid w:linePitch="312" w:charSpace="0"/>
        </w:sectPr>
      </w:pPr>
    </w:p>
    <w:tbl>
      <w:tblPr>
        <w:tblStyle w:val="9"/>
        <w:tblW w:w="8968" w:type="dxa"/>
        <w:tblInd w:w="0" w:type="dxa"/>
        <w:tblLayout w:type="autofit"/>
        <w:tblCellMar>
          <w:top w:w="0" w:type="dxa"/>
          <w:left w:w="0" w:type="dxa"/>
          <w:bottom w:w="0" w:type="dxa"/>
          <w:right w:w="0" w:type="dxa"/>
        </w:tblCellMar>
      </w:tblPr>
      <w:tblGrid>
        <w:gridCol w:w="472"/>
        <w:gridCol w:w="514"/>
        <w:gridCol w:w="1206"/>
        <w:gridCol w:w="800"/>
        <w:gridCol w:w="1164"/>
        <w:gridCol w:w="2027"/>
        <w:gridCol w:w="1375"/>
        <w:gridCol w:w="1375"/>
        <w:gridCol w:w="36"/>
      </w:tblGrid>
      <w:tr>
        <w:tblPrEx>
          <w:tblCellMar>
            <w:top w:w="0" w:type="dxa"/>
            <w:left w:w="0" w:type="dxa"/>
            <w:bottom w:w="0" w:type="dxa"/>
            <w:right w:w="0" w:type="dxa"/>
          </w:tblCellMar>
        </w:tblPrEx>
        <w:trPr>
          <w:gridAfter w:val="1"/>
          <w:wAfter w:w="36" w:type="dxa"/>
          <w:trHeight w:val="564" w:hRule="atLeast"/>
        </w:trPr>
        <w:tc>
          <w:tcPr>
            <w:tcW w:w="8932" w:type="dxa"/>
            <w:gridSpan w:val="8"/>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gridAfter w:val="1"/>
          <w:wAfter w:w="36" w:type="dxa"/>
          <w:trHeight w:val="288" w:hRule="atLeast"/>
        </w:trPr>
        <w:tc>
          <w:tcPr>
            <w:tcW w:w="0" w:type="auto"/>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0" w:type="auto"/>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新宁水闸运行管理经费</w:t>
            </w:r>
          </w:p>
        </w:tc>
      </w:tr>
      <w:tr>
        <w:tblPrEx>
          <w:tblCellMar>
            <w:top w:w="0" w:type="dxa"/>
            <w:left w:w="0" w:type="dxa"/>
            <w:bottom w:w="0" w:type="dxa"/>
            <w:right w:w="0" w:type="dxa"/>
          </w:tblCellMar>
        </w:tblPrEx>
        <w:trPr>
          <w:gridAfter w:val="1"/>
          <w:wAfter w:w="36" w:type="dxa"/>
          <w:trHeight w:val="288" w:hRule="atLeast"/>
        </w:trPr>
        <w:tc>
          <w:tcPr>
            <w:tcW w:w="0" w:type="auto"/>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0" w:type="auto"/>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r>
      <w:tr>
        <w:tblPrEx>
          <w:tblCellMar>
            <w:top w:w="0" w:type="dxa"/>
            <w:left w:w="0" w:type="dxa"/>
            <w:bottom w:w="0" w:type="dxa"/>
            <w:right w:w="0" w:type="dxa"/>
          </w:tblCellMar>
        </w:tblPrEx>
        <w:trPr>
          <w:gridAfter w:val="1"/>
          <w:wAfter w:w="36" w:type="dxa"/>
          <w:trHeight w:val="1152" w:hRule="atLeast"/>
        </w:trPr>
        <w:tc>
          <w:tcPr>
            <w:tcW w:w="0" w:type="auto"/>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0" w:type="auto"/>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r>
      <w:tr>
        <w:tblPrEx>
          <w:tblCellMar>
            <w:top w:w="0" w:type="dxa"/>
            <w:left w:w="0" w:type="dxa"/>
            <w:bottom w:w="0" w:type="dxa"/>
            <w:right w:w="0" w:type="dxa"/>
          </w:tblCellMar>
        </w:tblPrEx>
        <w:trPr>
          <w:gridAfter w:val="1"/>
          <w:wAfter w:w="36" w:type="dxa"/>
          <w:trHeight w:val="288" w:hRule="atLeast"/>
        </w:trPr>
        <w:tc>
          <w:tcPr>
            <w:tcW w:w="0" w:type="auto"/>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0" w:type="auto"/>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r>
      <w:tr>
        <w:tblPrEx>
          <w:tblCellMar>
            <w:top w:w="0" w:type="dxa"/>
            <w:left w:w="0" w:type="dxa"/>
            <w:bottom w:w="0" w:type="dxa"/>
            <w:right w:w="0" w:type="dxa"/>
          </w:tblCellMar>
        </w:tblPrEx>
        <w:trPr>
          <w:gridAfter w:val="1"/>
          <w:wAfter w:w="36" w:type="dxa"/>
          <w:trHeight w:val="288" w:hRule="atLeast"/>
        </w:trPr>
        <w:tc>
          <w:tcPr>
            <w:tcW w:w="0" w:type="auto"/>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0" w:type="auto"/>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0" w:type="auto"/>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2025</w:t>
            </w:r>
          </w:p>
        </w:tc>
      </w:tr>
      <w:tr>
        <w:tblPrEx>
          <w:tblCellMar>
            <w:top w:w="0" w:type="dxa"/>
            <w:left w:w="0" w:type="dxa"/>
            <w:bottom w:w="0" w:type="dxa"/>
            <w:right w:w="0" w:type="dxa"/>
          </w:tblCellMar>
        </w:tblPrEx>
        <w:trPr>
          <w:gridAfter w:val="1"/>
          <w:wAfter w:w="36" w:type="dxa"/>
          <w:trHeight w:val="864" w:hRule="atLeast"/>
        </w:trPr>
        <w:tc>
          <w:tcPr>
            <w:tcW w:w="0" w:type="auto"/>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0" w:type="auto"/>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3200000</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800000</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eastAsia="宋体"/>
                <w:color w:val="auto"/>
                <w:sz w:val="22"/>
                <w:szCs w:val="22"/>
                <w:lang w:val="en-US" w:eastAsia="zh-CN"/>
              </w:rPr>
            </w:pPr>
            <w:r>
              <w:rPr>
                <w:rFonts w:hint="eastAsia"/>
                <w:color w:val="auto"/>
                <w:sz w:val="22"/>
                <w:szCs w:val="22"/>
                <w:lang w:val="en-US" w:eastAsia="zh-CN"/>
              </w:rPr>
              <w:t>800000</w:t>
            </w:r>
          </w:p>
        </w:tc>
      </w:tr>
      <w:tr>
        <w:tblPrEx>
          <w:tblCellMar>
            <w:top w:w="0" w:type="dxa"/>
            <w:left w:w="0" w:type="dxa"/>
            <w:bottom w:w="0" w:type="dxa"/>
            <w:right w:w="0" w:type="dxa"/>
          </w:tblCellMar>
        </w:tblPrEx>
        <w:trPr>
          <w:gridAfter w:val="1"/>
          <w:wAfter w:w="36" w:type="dxa"/>
          <w:trHeight w:val="288" w:hRule="atLeast"/>
        </w:trPr>
        <w:tc>
          <w:tcPr>
            <w:tcW w:w="0" w:type="auto"/>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0" w:type="auto"/>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用于保障临工工资支出、船只维修保养和办公开支。</w:t>
            </w:r>
          </w:p>
        </w:tc>
      </w:tr>
      <w:tr>
        <w:tblPrEx>
          <w:tblCellMar>
            <w:top w:w="0" w:type="dxa"/>
            <w:left w:w="0" w:type="dxa"/>
            <w:bottom w:w="0" w:type="dxa"/>
            <w:right w:w="0" w:type="dxa"/>
          </w:tblCellMar>
        </w:tblPrEx>
        <w:trPr>
          <w:gridAfter w:val="1"/>
          <w:wAfter w:w="36" w:type="dxa"/>
          <w:trHeight w:val="288" w:hRule="atLeast"/>
        </w:trPr>
        <w:tc>
          <w:tcPr>
            <w:tcW w:w="0" w:type="auto"/>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0" w:type="auto"/>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0" w:type="auto"/>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r>
      <w:tr>
        <w:tblPrEx>
          <w:tblCellMar>
            <w:top w:w="0" w:type="dxa"/>
            <w:left w:w="0" w:type="dxa"/>
            <w:bottom w:w="0" w:type="dxa"/>
            <w:right w:w="0" w:type="dxa"/>
          </w:tblCellMar>
        </w:tblPrEx>
        <w:trPr>
          <w:gridAfter w:val="1"/>
          <w:wAfter w:w="36" w:type="dxa"/>
          <w:trHeight w:val="288"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0" w:type="auto"/>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通过项目实施，支付新宁水闸管理所临工15人，工资+社保经费为65万元，办公运转经费15万元（含办公经费开支，劳保用品、船只维修保养等），保障新宁水闸正常运行。</w:t>
            </w:r>
          </w:p>
        </w:tc>
        <w:tc>
          <w:tcPr>
            <w:tcW w:w="0" w:type="auto"/>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通过项目实施，支付新宁水闸管理所临工15人，工资+社保经费为65万元，办公运转经费15万元（含办公经费开支，劳保用品、船只维修保养等），保障新宁水闸正常运行。</w:t>
            </w:r>
          </w:p>
        </w:tc>
      </w:tr>
      <w:tr>
        <w:tblPrEx>
          <w:tblCellMar>
            <w:top w:w="0" w:type="dxa"/>
            <w:left w:w="0" w:type="dxa"/>
            <w:bottom w:w="0" w:type="dxa"/>
            <w:right w:w="0" w:type="dxa"/>
          </w:tblCellMar>
        </w:tblPrEx>
        <w:trPr>
          <w:gridAfter w:val="1"/>
          <w:wAfter w:w="36" w:type="dxa"/>
          <w:trHeight w:val="288" w:hRule="atLeast"/>
        </w:trPr>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0" w:type="auto"/>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r>
      <w:tr>
        <w:tblPrEx>
          <w:tblCellMar>
            <w:top w:w="0" w:type="dxa"/>
            <w:left w:w="0" w:type="dxa"/>
            <w:bottom w:w="0" w:type="dxa"/>
            <w:right w:w="0" w:type="dxa"/>
          </w:tblCellMar>
        </w:tblPrEx>
        <w:trPr>
          <w:trHeight w:val="288" w:hRule="atLeast"/>
        </w:trPr>
        <w:tc>
          <w:tcPr>
            <w:tcW w:w="0" w:type="auto"/>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0" w:type="auto"/>
            <w:gridSpan w:val="2"/>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0" w:type="auto"/>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576"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聘请临工人数</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聘请临工人数</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15人</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15人</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养护船只数量</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养护船只数量</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2只</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2只</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河面保洁效果</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河面和亲水平台保洁效果</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保障河面和亲水平台干净整洁</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保障河面和亲水平台干净整洁</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919"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养护工作完成及时率</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养护工作完成及时率=按时完成的养护工作量/养护工作总量*100%</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38"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人员经费付款及时率</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付款及时率=及时付款金额/计划付款总金额*100%</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80"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预算支出率</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预算支出率=实际支出金额/预算金额*100%</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≤100%</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提升城市面貌</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打造一河两岸美好环境</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有效提升</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有效提升</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907"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生态效益指标</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台城河水质优化情况</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反映台城河水质比上年的优化程度</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实施期间提高30%</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同比提高30%</w:t>
            </w:r>
          </w:p>
        </w:tc>
        <w:tc>
          <w:tcPr>
            <w:tcW w:w="0" w:type="auto"/>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541" w:hRule="atLeast"/>
        </w:trPr>
        <w:tc>
          <w:tcPr>
            <w:tcW w:w="0" w:type="auto"/>
            <w:vMerge w:val="continue"/>
            <w:tcBorders>
              <w:top w:val="nil"/>
              <w:left w:val="single" w:color="auto" w:sz="4" w:space="0"/>
              <w:bottom w:val="single" w:color="auto" w:sz="4" w:space="0"/>
              <w:right w:val="single" w:color="auto" w:sz="4" w:space="0"/>
            </w:tcBorders>
            <w:vAlign w:val="center"/>
          </w:tcPr>
          <w:p>
            <w:pPr>
              <w:rPr>
                <w:sz w:val="22"/>
                <w:szCs w:val="22"/>
              </w:rPr>
            </w:pP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0" w:type="auto"/>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群众满意度</w:t>
            </w:r>
          </w:p>
        </w:tc>
        <w:tc>
          <w:tcPr>
            <w:tcW w:w="0" w:type="auto"/>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群众满意度=感到满意的受访者数量/调查总人数*100%</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≥90%</w:t>
            </w:r>
          </w:p>
        </w:tc>
        <w:tc>
          <w:tcPr>
            <w:tcW w:w="0" w:type="auto"/>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0" w:type="auto"/>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置换水源工程运行管理经费</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2025</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800000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180000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eastAsia="宋体"/>
                <w:sz w:val="22"/>
                <w:szCs w:val="22"/>
                <w:lang w:val="en-US" w:eastAsia="zh-CN"/>
              </w:rPr>
            </w:pPr>
            <w:r>
              <w:rPr>
                <w:rFonts w:hint="eastAsia"/>
                <w:color w:val="auto"/>
                <w:sz w:val="22"/>
                <w:szCs w:val="22"/>
                <w:lang w:val="en-US" w:eastAsia="zh-CN"/>
              </w:rPr>
              <w:t>180000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用于置换水源工程临工工资、电费和设备维护费等支出。</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保障置换水源工程良好运行，人员配备充足，确保农田灌溉用水,保障农业生产，促进农民增收。</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保障置换水源工程良好运行，人员配备充足，确保农田灌溉用水。</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配备人员数量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置换水源工程配备人员数量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2个</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2个</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工程故障发生次数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工程故障发生次数</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0次</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0次</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工程运行时长</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工程运行时长</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全天24小时值守</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全天24小时值守</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临工工资标准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置换水源工程配备临工工资标准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和库区临工同等待遇</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和库区临工同等待遇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保障服务灌区农田用水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保障服务灌区农田用水</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确保放水及时到位</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确保放水及时到位</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生态效益指标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提升水资源利用水平</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项目实施对水资源利用率的影响情况</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提高</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提高</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01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受益群众满意度=感到满意的受访者数量/调查总人数*100%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市管水利工程维修养护经费</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2025</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463000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color w:val="auto"/>
                <w:sz w:val="22"/>
                <w:szCs w:val="22"/>
              </w:rPr>
              <w:t>463000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用于12宗市属水利工程维修养护，特别是灌区工程渠道、附属工程等，需投入大量资金重建及维修，以确保工程良性运行，保障农田灌溉用水，做好三农工作。</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每年修复主干渠崩塌段约15处，完成清障清淤10公里，修复其它附属工程10宗，维修闸门10扇，确保工程安全运行，水库灌渠与农渠连接畅通，保障农田灌溉用水。</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2024年修复主干渠崩塌段约15处，完成清障清淤10公里，修复其它附属工程10宗，维修闸门10扇，确保工程安全运行，水库灌渠与农渠连接畅通，保障农田灌溉用水。</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修复主干渠崩塌段数量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修复主干渠崩塌段数量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15处</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15处</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完成清障清淤长度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完成清障清淤长度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10公里</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10公里</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修复其它附属工程数量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修复其它附属工程数量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10宗</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10宗</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维修闸门数量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维修闸门数量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10扇</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381"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项目验收合格率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项目验收合格率=验收合格工程量/计划验收工程量*100%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997"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项目完成时间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市管水利工程维修养护工作完成时间</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2024年12月底前</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2024年12月底前</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983"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付款及时率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付款及时率=及时付款金额/计划付款总金额*100%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支出成本合理性</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市管水利工程维修养护成本</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合理</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合理</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经济效益指标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提高灌区农民收入</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提高灌区农民收入的程度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高于2023年</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高于2023年</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改善灌区农业生产条件</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改善灌区农业生产条件</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灌区的放水条件得到有效改善</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灌区的放水条件得到有效改善</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保障农田灌溉用水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保障农田灌溉用水</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有效保障</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有效保障</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生态效益指标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提高水资源自用率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提高水资源自用率的程度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提高15%</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提高15%</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水利工程可持续使用</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水利工程可持续使用年限</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5年</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5年</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267"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灌区受益群众满意度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灌区受益群众满意度=感到满意的灌区受访者数量/调查灌区总人数*100%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95%</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sz w:val="22"/>
                <w:szCs w:val="22"/>
              </w:rPr>
            </w:pPr>
            <w:r>
              <w:rPr>
                <w:rFonts w:hint="eastAsia"/>
                <w:sz w:val="22"/>
                <w:szCs w:val="22"/>
              </w:rPr>
              <w:t>95%</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市管水利工程单位管理经费</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2023</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2099</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41580800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41580800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color w:val="auto"/>
                <w:sz w:val="22"/>
                <w:szCs w:val="22"/>
              </w:rPr>
              <w:t>41580800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用于水利局下属13个基层单位（事业二类）人员工资福利及运转经费发放</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13个基层单位人员工资福利及运转经费每年按时足额发放，保障水利工程单位日常工作的正常运转。</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13个基层单位人员工资福利及运转经费按时足额发放，保障水利工程单位日常工作的正常运转。</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经费保障二类事业单位数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发放人员经费涉及二类事业单位数量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13个</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13个</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258"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发放准确率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发放准确率=准确发放经费数/发放经费总数*100%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按时支付单位人员工资</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单位人员工资支付时效性</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每月30号前</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每月30号前</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271"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预算超支率=（实际支出金额-预算金额）/预算金额*100%。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w:t>
            </w:r>
            <w:r>
              <w:rPr>
                <w:rFonts w:ascii="Times New Roman" w:hAnsi="Times New Roman" w:cs="Times New Roman"/>
                <w:sz w:val="22"/>
                <w:szCs w:val="22"/>
              </w:rPr>
              <w:t>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440"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保障下属单位日常工作正常运转</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保障水利工程单位日常工作的正常运转</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90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单位人员工资满意度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单位人员工资满意度=感到满意的受访者数量/调查总人数*100%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返销粮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2025</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3200000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700000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color w:val="auto"/>
                <w:sz w:val="22"/>
                <w:szCs w:val="22"/>
              </w:rPr>
              <w:t>700000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根据《关于印发台山市发放返销粮价补贴实施方案的通知》(台府办〔2011〕94号)要求，完成返销粮价补贴申报工作。</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于11月底完成人口核定，根据粮食局提供全年平均稻谷价格，完成返销粮价补贴申报工作，确保12月底前将补贴发放到农户手中。</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于11月底完成人口核定，根据粮食局提供全年平均稻谷价格，完成返销粮价补贴申报工作，确保12月底前将补贴发放到农户手中。</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全年平均稻谷价格</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全年平均稻谷价格</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1.55元/斤</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1.55元/斤</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2022年全年人均享受粮价补贴数量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2022年全年人均享受粮价补贴数量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200斤</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200斤</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043"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发放准确率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发放准确率=发放准确数量/发放总数量*100%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人口核定准确性</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人口核定准确性</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准确</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准确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人口核定时间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人口核定工作完成时限</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11月底之前</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11月底之前</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粮价补贴发放时间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粮价补贴发放完成时限</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12月底之前</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12月底之前</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351"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预算超支率=（实际支出金额-预算金额）/预算金额*100%。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w:t>
            </w:r>
            <w:r>
              <w:rPr>
                <w:rFonts w:ascii="Times New Roman" w:hAnsi="Times New Roman" w:cs="Times New Roman"/>
                <w:sz w:val="22"/>
                <w:szCs w:val="22"/>
              </w:rPr>
              <w:t>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440"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经济效益指标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农户增加可支配收入</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通过返销粮补贴，农户增加可支配收入金额</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每人增加收入约300元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每人增加收入约300元</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01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农户满意度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农户满意度=感到满意的受访农户数量/调查农户总数量*100%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三峡移民专项经费</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2025</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196400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49100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color w:val="auto"/>
                <w:sz w:val="22"/>
                <w:szCs w:val="22"/>
              </w:rPr>
              <w:t>49100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三峡移民村村长工资1.8万元（共10条移民村村长，每人每年1800元），发放三峡移民退伍军人、80岁以上老人春节慰问金和慰问礼品2.31万元（退伍军人、80岁以上老人共42人，每年发放前核实人口，每人慰问金200元、礼品350元/份），三峡移民维稳工作会议经费8000元。</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发放三峡移民村村长工资1.8万元，发放三峡移民退伍军人、80岁以上老人春节慰问金和慰问礼品2.31万元，召开三峡移民维稳工作会议0.8万元，确保三峡移民安置区和谐稳定。</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发放三峡移民村村长工资1.8万元，发放三峡移民退伍军人、80岁以上老人春节慰问金和慰问礼品2.31万元，召开三峡移民维稳工作会议0.8万元，确保三峡移民安置区和谐稳定。</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967"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发放三峡移民村村长工资人数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发放三峡移民村村长工资人数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10人</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10人</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0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慰问三峡移民退伍军人与老人数量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慰问三峡移民退伍军人与老人人数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42人</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42人</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799"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三峡移民维稳工作会议次数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三峡移民维稳工作会议次数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≥1次</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≥1次</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028"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发放准确率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发放准确率=发放准确金额/计划发放总金额*100%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经费拨付时间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三峡移民经费拨付时间</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春节前1个月内</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春节前1个月内</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村长工资标准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三峡移民村村长工资标准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1800元/人/年</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1800元/人/年</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728"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春节慰问标准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三峡移民退伍军人、80岁以上老人春节慰问标准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慰问金200元/人，慰问礼品350元/份</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慰问金200元/人，慰问礼品350元/份</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30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促进移民村村民和当地村民和谐共处</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促进移民村村民和当地村民和谐共处，依托政府，实现脱贫致富</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确保三峡移民安置区和谐稳定</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确保三峡移民安置区和谐稳定</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长期</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长期</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30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服务对象满意度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服务对象满意度=感到满意的三峡移民数量/调查三峡移民总人数*100%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台山市水资源实时监控信息系统扩建及维护项目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2025</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600000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120000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color w:val="auto"/>
                <w:sz w:val="22"/>
                <w:szCs w:val="22"/>
              </w:rPr>
              <w:t>120000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根据最严格水资源考核文件要求，通过聘请第三方，依照考核标准完成台山市水资源实时监控信息系统扩建及维护工作，达到保护水资源效果。</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根据最严格水资源考核文件要求，通过聘请第三方，依照考核标准完成台山市水资源实时监控信息系统扩建及维护工作，达到保护水资源效果。</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扩建25个取水户在线监测设施，完善1个监控信息系统，达到保护水资源效果。</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监测点建设数量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台山市水资源实时监测点建设数量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25个</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25个</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0"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信息系统建设数量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台山市水资源实施监控信息系统建设数量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1个</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1个</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033"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系统正常运行率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系统正常运行率=系统正常运行天数/365天*100%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33"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故障解决响应时间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台山市水资源实施监控信息系统故障解决响应时间</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24小时内</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24小时内</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591"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预算超支率=（实际执行金额-预算金额）/预算金额*100%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加强社会节水意识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加强社会节水意识的程度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比往年加强</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比往年加强</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水资源永续利用</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水资源永续利用程度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比往年加强</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比往年加强</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30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服务对象满意度指标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服务对象满意度指标=感到满意的受访者数量/调查总人数*100%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≥95%</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≥95%</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水利安全生产专项资金</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专项资金</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2026</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1651000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30000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color w:val="auto"/>
                <w:sz w:val="22"/>
                <w:szCs w:val="22"/>
              </w:rPr>
              <w:t>30000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421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据国务院颁发的《国务院安全生产委员会关于加快推进安全生产社会化服务体系建设的指导意见》（安委〔2016〕11号）、《中共广东省委  广东省人民政府关于进一步加强安全生产工作的意见》（粤发〔2011〕13号）、《中央宣传部 司法部关于开展法治宣传教育的第八个五年规划（2021－2025年）》、台山市普法办公室《关于印发〈2021年台山市普法依法治理工作要点〉的通知》（台普办〔2015〕5号）和《印发〈关于进一步深化政府法律顾问制度和公职律师制度的意见〉的通知》（台司〔2021〕65号）以及国家、省、江门市和台山市关于安全生产以及“谁执法谁普法”的要求，对水利工程建设项目的安全生产检查，需要跨行业和跨专业的技术力量去排查，通过委托第三方专业机构对我市水利工程建设安全生产开展第三方暗访检查工作，并开展安全生产宣传、组织行业人员进行学习培训，不断提升业务股室和参建单位人员安全生产隐患、风险点的辨识能力。同时开展水利行业普法宣传，并聘请法律顾问，参与局各部门涉及法律事务的行政管理工作，为提高依法行政的能力水平，促进依法办事，协调推进“四个全面”战略布局提供法治保障。</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4109"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通过安全生产隐患排查治理、安全文化教育体系建设等措施和安排，有效提升我市水利工程建设安全生产水平，降低安全责任事故发生率，推进水利行业安全生产形势持续稳定。开展水法律法规宣传教育，提高依法行政，依法决策水平，营造公平正义的社会环境、营商环境，建设人民满意的服务型政府。</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依托专业技术力量支撑，对在建水利工程安全作业情况进行专项检查并跟进整改，开展2次安全生产知识教育培训，全面提高我市水利行业安全生产水平。按照全市“八五”普法规划，深入开展“法律六进”，年度派发宣传手册；聘请法律顾问，参与局各部门涉及法律事务的行政管理工作，不断提高全体公民的法治观念和全社会的法治化水平，为保障公平合理的用水权益、构建和谐安定的水事秩序奠定长效稳固的法治基石。</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安全生产人员培训</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安全生产人员培训期数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10期</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2期</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61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整改完成率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反映项目实施后，对于暗访检查发现问题的整改情况。整改完成率=已整改问题数量/暗访发现问题数量*100%。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普法宣传周期</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开展水法律法规普法宣传的周期</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全年</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全年</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201"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预算超支率=（实际支出金额-预算金额）/预算金额*100%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重大安全生产事故数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重大安全生产事故数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0起</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0起</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030"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单位人员法律知识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反映项目实施能否提升单位人员法律知识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比往年提升</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比往年提升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依法行政依法办事率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依法行政依法办事率</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01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普法宣传满意度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普法宣传满意度=感到满意的受访者数量/调查总人数*100%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≥98%</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≥98%</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潭江项目（台山段）运营期项目经费</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2026</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17438000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5231400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eastAsia="宋体"/>
                <w:sz w:val="22"/>
                <w:szCs w:val="22"/>
                <w:lang w:val="en-US" w:eastAsia="zh-CN"/>
              </w:rPr>
            </w:pPr>
            <w:r>
              <w:rPr>
                <w:rFonts w:hint="eastAsia"/>
                <w:color w:val="auto"/>
                <w:sz w:val="22"/>
                <w:szCs w:val="22"/>
              </w:rPr>
              <w:t>5231400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2017年4月广东省水利厅以《广东省水利厅关于江门市潭江治理工程（台山段）初步设计报告的批复》（粤水建管〔2017〕22号）文核定概算总投资20003.03万元；2021年12月广东省水利厅以《广东省水利厅关于江门市潭江河流治理工程（恩平、开平、台山、新会段）投资概算调整的批复》（粤水建设〔2021〕11号）文同意台山段概算总投资调整为24288.92万元。针对潭江（台山段）现状河道堤防洪（潮）标准低，堤身低矮单薄，部分穿堤建筑物老化残旧，分别将潭江（台山段）干流大江段、水步段、白沙段进行加固堤防、重建或加固水闸、重建或新建穿堤涵闸，以提高河段的防洪排涝减灾能力。</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建设并维护23.165公里堤防、20座水闸、37座穿堤涵闸，发挥潭江（台山段）防洪排涝减灾能力，促进当地民生利益。</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建设并维护23.165公里堤防、20座水闸、37座穿堤涵闸，发挥潭江（台山段）防洪排涝减灾能力，促进当地民生利益。</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堤防加固长度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潭江（台山段）堤防加固长度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23.165KM</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23.165KM</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重建、加固水闸数量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潭江（台山段）重建、加固水闸数量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20个</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20个</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841"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工程质量达标率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反映工程质量的达标情况。工程质量达标率=2024年验收合格数量/2024年建设工程数量*100%。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958"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年度项目按时完成率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“按时完成”是指按照合同要求或上级文件要求时间完成，年度项目按时完成率=按时完成的子项目数量/年度应完成的子项目数量*100%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447"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预算控制率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预算控制率=（项目当期实际支出成本-项目当期预算）/项目当期预算*100%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普及河长制</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通过调查问卷普及河长制</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093"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是否达到相应的防洪标准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消除安全隐患，恢复工程功能，达到防洪标准。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728"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是否落实长效机制</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解决工程隐患、问题，保证工程持续发挥功能效益。</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30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群众满意度=调查对象中感到满意的数量/调查对象的数量*100%。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台山市全面推行河长制烽火角水系物业化管理项目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否</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2025</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8099900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300000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color w:val="auto"/>
                <w:sz w:val="22"/>
                <w:szCs w:val="22"/>
              </w:rPr>
              <w:t>300000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依据《台山市全面推行河长制烽火角水系物业化管理项目实施方案》，对台山市烽火角水系约182.465公里的河道及约8.37平方公里的水域面积进行清漂保洁、河道巡查队伍建设管理、巡查人员以及工作建设管理、涉河湖事件（含水生植物）处置管理、河湖智能管护云平台建设与运营管理等。</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依据《台山市全面推行河长制烽火角水系物业化管理项目实施方案》，对台山市烽火角水系约182.465公里的河道及约8.37平方公里的水域面积进行清漂保洁、河道巡查队伍建设管理、巡查人员以及工作建设管理、涉河湖事件（含水生植物）处置管理、河湖智能管护云平台建设与运营管理等。</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对台山市烽火角水系约182.465公里的河道及约8.37平方公里的水域面积进行清漂保洁、河道巡查队伍建设管理、巡查人员以及工作建设管理、涉河湖事件（含水生植物）处置管理、河湖智能管护云平台建设与运营管理等。</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清理烽火角水系内河道</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清理烽火角水系内河道长度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约182公里</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约182公里</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水域清漂保洁面积</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水域清漂保洁面积</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8.37平方公里</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8.37平方公里</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74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项目考核合格率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项目考核合格率=考核合格的项目数量/参加考核的项目总数量*100%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68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规划按时完成率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lang w:val="en-US" w:eastAsia="zh-CN"/>
              </w:rPr>
              <w:t>规划按时完成</w:t>
            </w:r>
            <w:r>
              <w:rPr>
                <w:rFonts w:hint="eastAsia"/>
                <w:sz w:val="22"/>
                <w:szCs w:val="22"/>
              </w:rPr>
              <w:t>率=</w:t>
            </w:r>
            <w:r>
              <w:rPr>
                <w:rFonts w:hint="eastAsia"/>
                <w:sz w:val="22"/>
                <w:szCs w:val="22"/>
                <w:lang w:val="en-US" w:eastAsia="zh-CN"/>
              </w:rPr>
              <w:t>按规划时间完成</w:t>
            </w:r>
            <w:r>
              <w:rPr>
                <w:rFonts w:hint="eastAsia"/>
                <w:sz w:val="22"/>
                <w:szCs w:val="22"/>
              </w:rPr>
              <w:t>项目数量/</w:t>
            </w:r>
            <w:r>
              <w:rPr>
                <w:rFonts w:hint="eastAsia"/>
                <w:sz w:val="22"/>
                <w:szCs w:val="22"/>
                <w:lang w:val="en-US" w:eastAsia="zh-CN"/>
              </w:rPr>
              <w:t>规划</w:t>
            </w:r>
            <w:r>
              <w:rPr>
                <w:rFonts w:hint="eastAsia"/>
                <w:sz w:val="22"/>
                <w:szCs w:val="22"/>
              </w:rPr>
              <w:t>的项目总数量*100%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501"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预算超支率=（实际支出金额-预算金额）/预算金额*100%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728"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项目实施能否促进水生态环境和人文居住环境得到改善</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项目实施能否促进水生态环境和人文居住环境得到改善</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能</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能</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生态效益指标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项目是否能提升水安全、改善水环境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项目是否能提升水安全、改善水环境</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能</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能</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30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受益群众满意率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群众满意度=调查对象中感到满意的数量/调查对象的数量*100%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sz w:val="22"/>
                <w:szCs w:val="22"/>
              </w:rPr>
            </w:pPr>
            <w:r>
              <w:rPr>
                <w:rFonts w:hint="eastAsia"/>
                <w:sz w:val="22"/>
                <w:szCs w:val="22"/>
              </w:rPr>
              <w:t>≥90%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sz w:val="22"/>
                <w:szCs w:val="22"/>
              </w:rPr>
            </w:pPr>
            <w:r>
              <w:rPr>
                <w:rFonts w:hint="eastAsia"/>
                <w:sz w:val="22"/>
                <w:szCs w:val="22"/>
              </w:rPr>
              <w:t>≥90%</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sz w:val="28"/>
                <w:szCs w:val="28"/>
              </w:rPr>
            </w:pPr>
            <w:r>
              <w:rPr>
                <w:rFonts w:hint="eastAsia" w:ascii="黑体" w:hAnsi="黑体" w:eastAsia="黑体"/>
                <w:sz w:val="28"/>
                <w:szCs w:val="28"/>
              </w:rPr>
              <w:t>2024年</w:t>
            </w:r>
            <w:r>
              <w:rPr>
                <w:rFonts w:hint="eastAsia" w:ascii="黑体" w:hAnsi="黑体" w:eastAsia="黑体"/>
                <w:sz w:val="28"/>
                <w:szCs w:val="28"/>
                <w:lang w:val="en-US" w:eastAsia="zh-CN"/>
              </w:rPr>
              <w:t>台山</w:t>
            </w:r>
            <w:r>
              <w:rPr>
                <w:rFonts w:hint="eastAsia" w:ascii="黑体" w:hAnsi="黑体" w:eastAsia="黑体"/>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河长制办公费、宣传费</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二级项目</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是否政府采购</w:t>
            </w:r>
          </w:p>
          <w:p>
            <w:pPr>
              <w:jc w:val="center"/>
              <w:rPr>
                <w:rFonts w:hint="eastAsia"/>
                <w:sz w:val="22"/>
                <w:szCs w:val="22"/>
              </w:rPr>
            </w:pPr>
            <w:r>
              <w:rPr>
                <w:rFonts w:hint="eastAsia"/>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台山市水利局</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2023</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2027</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1500000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190000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eastAsia="宋体"/>
                <w:sz w:val="22"/>
                <w:szCs w:val="22"/>
                <w:lang w:val="en-US" w:eastAsia="zh-CN"/>
              </w:rPr>
            </w:pPr>
            <w:r>
              <w:rPr>
                <w:rFonts w:hint="eastAsia"/>
                <w:color w:val="auto"/>
                <w:sz w:val="22"/>
                <w:szCs w:val="22"/>
                <w:lang w:val="en-US" w:eastAsia="zh-CN"/>
              </w:rPr>
              <w:t>100000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提高河长制工作宣传力度，维持河长制办公室日常运行。</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sz w:val="22"/>
                <w:szCs w:val="22"/>
                <w:lang w:eastAsia="zh-CN"/>
              </w:rPr>
            </w:pPr>
            <w:r>
              <w:rPr>
                <w:rFonts w:hint="eastAsia"/>
                <w:sz w:val="22"/>
                <w:szCs w:val="22"/>
              </w:rPr>
              <w:t>总体绩效目标</w:t>
            </w:r>
          </w:p>
          <w:p>
            <w:pPr>
              <w:jc w:val="center"/>
              <w:rPr>
                <w:rFonts w:hint="eastAsia"/>
                <w:sz w:val="22"/>
                <w:szCs w:val="22"/>
              </w:rPr>
            </w:pPr>
            <w:r>
              <w:rPr>
                <w:rFonts w:hint="eastAsia"/>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当年度目标</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按上级工作要求开展河长制工作保障河长制业务工作正常开展，顺利履行河长业务职责，贯彻落实各项政策，提高河长制工作宣传力度，维持河长制办公室日常运行。</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本年度按上级工作要求开展河长制工作保障河长制业务工作正常开展，顺利履行河长业务职责，贯彻落实各项政策，完成不少于2个河长制工作宣传方案，提高河长制工作宣传力度，维持河长制办公室日常运行。</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当年度指标值</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sz w:val="22"/>
                <w:szCs w:val="22"/>
              </w:rPr>
            </w:pPr>
          </w:p>
        </w:tc>
      </w:tr>
      <w:tr>
        <w:tblPrEx>
          <w:tblCellMar>
            <w:top w:w="0" w:type="dxa"/>
            <w:left w:w="0" w:type="dxa"/>
            <w:bottom w:w="0" w:type="dxa"/>
            <w:right w:w="0" w:type="dxa"/>
          </w:tblCellMar>
        </w:tblPrEx>
        <w:trPr>
          <w:trHeight w:val="1152"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2"/>
                <w:szCs w:val="22"/>
              </w:rPr>
            </w:pPr>
            <w:r>
              <w:rPr>
                <w:rFonts w:hint="eastAsia"/>
                <w:sz w:val="22"/>
                <w:szCs w:val="22"/>
              </w:rPr>
              <w:t>产出指标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工作宣传方案</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完成河长制工作宣传方案数量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≥2个</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≥2个</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31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项目验收通过率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项目验收通过率=验收通过数量/计划验收总数量*100%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sz w:val="22"/>
                <w:szCs w:val="22"/>
              </w:rPr>
            </w:pPr>
            <w:r>
              <w:rPr>
                <w:rFonts w:hint="eastAsia"/>
                <w:sz w:val="22"/>
                <w:szCs w:val="22"/>
              </w:rPr>
              <w:t>100%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项目完成时间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河长制工作完成时间</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实施周期内完成</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2023年12月前</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39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预算超支率=（实际支出金额-预算金额）/预算金额*100%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sz w:val="22"/>
                <w:szCs w:val="22"/>
              </w:rPr>
            </w:pPr>
            <w:r>
              <w:rPr>
                <w:rFonts w:hint="eastAsia"/>
                <w:sz w:val="22"/>
                <w:szCs w:val="22"/>
              </w:rPr>
              <w:t>≤0</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是否确保行政工作正常开展</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行政工作正常开展</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是</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1728"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扩大宣传范围、提升影响范围</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河长制相关工作的宣传和影响范围</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宣传范围覆盖整个江门地区、扩展整个珠三角地区</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宣传范围覆盖整个江门地区、扩展整个珠三角地区</w:t>
            </w:r>
          </w:p>
        </w:tc>
        <w:tc>
          <w:tcPr>
            <w:tcW w:w="36" w:type="dxa"/>
            <w:vAlign w:val="center"/>
          </w:tcPr>
          <w:p>
            <w:pPr>
              <w:rPr>
                <w:rFonts w:ascii="Times New Roman" w:hAnsi="Times New Roman" w:eastAsia="Times New Roman" w:cs="Times New Roman"/>
                <w:sz w:val="20"/>
                <w:szCs w:val="20"/>
              </w:rPr>
            </w:pPr>
          </w:p>
        </w:tc>
      </w:tr>
      <w:tr>
        <w:tblPrEx>
          <w:tblCellMar>
            <w:top w:w="0" w:type="dxa"/>
            <w:left w:w="0" w:type="dxa"/>
            <w:bottom w:w="0" w:type="dxa"/>
            <w:right w:w="0" w:type="dxa"/>
          </w:tblCellMar>
        </w:tblPrEx>
        <w:trPr>
          <w:trHeight w:val="2304" w:hRule="atLeast"/>
        </w:trPr>
        <w:tc>
          <w:tcPr>
            <w:tcW w:w="720" w:type="dxa"/>
            <w:vMerge w:val="continue"/>
            <w:tcBorders>
              <w:top w:val="nil"/>
              <w:left w:val="single" w:color="auto" w:sz="4" w:space="0"/>
              <w:bottom w:val="single" w:color="auto" w:sz="4" w:space="0"/>
              <w:right w:val="single" w:color="auto" w:sz="4" w:space="0"/>
            </w:tcBorders>
            <w:vAlign w:val="center"/>
          </w:tcPr>
          <w:p>
            <w:pPr>
              <w:rPr>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sz w:val="22"/>
                <w:szCs w:val="22"/>
              </w:rPr>
            </w:pPr>
            <w:r>
              <w:rPr>
                <w:rFonts w:hint="eastAsia"/>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群众满意度=感到满意的群众人数/接受满意度调查的群众人数*100%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sz w:val="22"/>
                <w:szCs w:val="22"/>
              </w:rPr>
            </w:pPr>
            <w:r>
              <w:rPr>
                <w:rFonts w:hint="eastAsia"/>
                <w:sz w:val="22"/>
                <w:szCs w:val="22"/>
              </w:rPr>
              <w:t>≥90%</w:t>
            </w:r>
          </w:p>
        </w:tc>
        <w:tc>
          <w:tcPr>
            <w:tcW w:w="36" w:type="dxa"/>
            <w:vAlign w:val="center"/>
          </w:tcPr>
          <w:p>
            <w:pPr>
              <w:rPr>
                <w:rFonts w:ascii="Times New Roman" w:hAnsi="Times New Roman" w:eastAsia="Times New Roman" w:cs="Times New Roman"/>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在建工程检测费及书籍购买费</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台山市水利水电工程质量监督站</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150000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28000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28000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依据《水利部办公厅关于印发水利建设工程质量监督工作清单的通知》（办监督〔2019〕211号）文件要求，聘请有资质的第三方检测机构对质监站监督的在建水利工程进行检测及采购专业技术书籍，支付费用2.8</w:t>
            </w:r>
            <w:r>
              <w:rPr>
                <w:rFonts w:hint="eastAsia"/>
                <w:color w:val="auto"/>
                <w:sz w:val="22"/>
                <w:szCs w:val="22"/>
                <w:lang w:val="en-US" w:eastAsia="zh-CN"/>
              </w:rPr>
              <w:t>0</w:t>
            </w:r>
            <w:r>
              <w:rPr>
                <w:rFonts w:hint="eastAsia"/>
                <w:color w:val="auto"/>
                <w:sz w:val="22"/>
                <w:szCs w:val="22"/>
              </w:rPr>
              <w:t>万元。</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对在建工程的混凝土进行4</w:t>
            </w:r>
            <w:r>
              <w:rPr>
                <w:rFonts w:hint="eastAsia"/>
                <w:color w:val="auto"/>
                <w:sz w:val="22"/>
                <w:szCs w:val="22"/>
                <w:lang w:val="en-US" w:eastAsia="zh-CN"/>
              </w:rPr>
              <w:t>2</w:t>
            </w:r>
            <w:r>
              <w:rPr>
                <w:rFonts w:hint="eastAsia"/>
                <w:color w:val="auto"/>
                <w:sz w:val="22"/>
                <w:szCs w:val="22"/>
              </w:rPr>
              <w:t>组回弹仪检测、对回填土进行</w:t>
            </w:r>
            <w:r>
              <w:rPr>
                <w:rFonts w:hint="eastAsia"/>
                <w:color w:val="auto"/>
                <w:sz w:val="22"/>
                <w:szCs w:val="22"/>
                <w:lang w:val="en-US" w:eastAsia="zh-CN"/>
              </w:rPr>
              <w:t>1</w:t>
            </w:r>
            <w:r>
              <w:rPr>
                <w:rFonts w:hint="eastAsia"/>
                <w:color w:val="auto"/>
                <w:sz w:val="22"/>
                <w:szCs w:val="22"/>
              </w:rPr>
              <w:t>0组环刀检测，并根据试验或量测结果出具相应质量检测报告,掌握工程实体质量情况。采购专业书籍，提高专业技术知识。</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对在建工程的混凝土进行4</w:t>
            </w:r>
            <w:r>
              <w:rPr>
                <w:rFonts w:hint="eastAsia"/>
                <w:color w:val="auto"/>
                <w:sz w:val="22"/>
                <w:szCs w:val="22"/>
                <w:lang w:val="en-US" w:eastAsia="zh-CN"/>
              </w:rPr>
              <w:t>2</w:t>
            </w:r>
            <w:r>
              <w:rPr>
                <w:rFonts w:hint="eastAsia"/>
                <w:color w:val="auto"/>
                <w:sz w:val="22"/>
                <w:szCs w:val="22"/>
              </w:rPr>
              <w:t>组回弹仪检测、对回填土进行</w:t>
            </w:r>
            <w:r>
              <w:rPr>
                <w:rFonts w:hint="eastAsia"/>
                <w:color w:val="auto"/>
                <w:sz w:val="22"/>
                <w:szCs w:val="22"/>
                <w:lang w:val="en-US" w:eastAsia="zh-CN"/>
              </w:rPr>
              <w:t>1</w:t>
            </w:r>
            <w:r>
              <w:rPr>
                <w:rFonts w:hint="eastAsia"/>
                <w:color w:val="auto"/>
                <w:sz w:val="22"/>
                <w:szCs w:val="22"/>
              </w:rPr>
              <w:t>0组环刀检测，并根据试验或量测结果出具相应质量检测报告,掌握工程实体质量情况。采购专业书籍，提高专业技术知识。</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1440"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混凝土回弹仪检测组数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对在建工程的混凝土进行回弹仪检测组数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4</w:t>
            </w:r>
            <w:r>
              <w:rPr>
                <w:rFonts w:hint="eastAsia"/>
                <w:color w:val="auto"/>
                <w:sz w:val="22"/>
                <w:szCs w:val="22"/>
                <w:lang w:val="en-US" w:eastAsia="zh-CN"/>
              </w:rPr>
              <w:t>2</w:t>
            </w:r>
            <w:r>
              <w:rPr>
                <w:rFonts w:hint="eastAsia"/>
                <w:color w:val="auto"/>
                <w:sz w:val="22"/>
                <w:szCs w:val="22"/>
              </w:rPr>
              <w:t>组</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4</w:t>
            </w:r>
            <w:r>
              <w:rPr>
                <w:rFonts w:hint="eastAsia"/>
                <w:color w:val="auto"/>
                <w:sz w:val="22"/>
                <w:szCs w:val="22"/>
                <w:lang w:val="en-US" w:eastAsia="zh-CN"/>
              </w:rPr>
              <w:t>2</w:t>
            </w:r>
            <w:r>
              <w:rPr>
                <w:rFonts w:hint="eastAsia"/>
                <w:color w:val="auto"/>
                <w:sz w:val="22"/>
                <w:szCs w:val="22"/>
              </w:rPr>
              <w:t>组</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440"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回填土环刀检测组数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对在建工程的回填土进行环刀检测组数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lang w:val="en-US" w:eastAsia="zh-CN"/>
              </w:rPr>
              <w:t>1</w:t>
            </w:r>
            <w:r>
              <w:rPr>
                <w:rFonts w:hint="eastAsia"/>
                <w:color w:val="auto"/>
                <w:sz w:val="22"/>
                <w:szCs w:val="22"/>
              </w:rPr>
              <w:t>0组</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lang w:val="en-US" w:eastAsia="zh-CN"/>
              </w:rPr>
              <w:t>1</w:t>
            </w:r>
            <w:r>
              <w:rPr>
                <w:rFonts w:hint="eastAsia"/>
                <w:color w:val="auto"/>
                <w:sz w:val="22"/>
                <w:szCs w:val="22"/>
              </w:rPr>
              <w:t>0组</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27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工程质量合格率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工程质量合格率=合格工程量/总工程量*100%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532"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报告验收通过率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报告验收通过率=验收通过的检测报告数量/出具的检测报告总数量*100%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检测工作完成时效</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检测工作完成时效</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10月31日前完成</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10月31日前完成</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检测费用标准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混凝土回弹仪检测费用标准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≤600元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≤600元</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045"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提高专业技术人员知识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购买专业书籍能否提高专业技术人员知识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掌握工程质量情况</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掌握工程质量情况</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达成</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达成</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工程良性运行</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已建工程是否良性运行</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01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公众满意度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公众满意度=感到满意的受访者数量/调查总人数*100%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执法装备更新、维护经费和宣传费</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台山市水政监察大队</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2021</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60000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eastAsia="宋体"/>
                <w:color w:val="auto"/>
                <w:sz w:val="22"/>
                <w:szCs w:val="22"/>
                <w:lang w:val="en-US" w:eastAsia="zh-CN"/>
              </w:rPr>
            </w:pPr>
            <w:r>
              <w:rPr>
                <w:rFonts w:hint="eastAsia"/>
                <w:color w:val="auto"/>
                <w:sz w:val="22"/>
                <w:szCs w:val="22"/>
                <w:lang w:val="en-US" w:eastAsia="zh-CN"/>
              </w:rPr>
              <w:t>50000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依据《广东省水利厅关于进一步加强和规范水政执法工作的通知》要求，完善补充执法器械、服装，依法开展水政监察工作，支付费用10万元，维护执法装备正常运行，保护台山市内水事违法日常秩序。</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保障执法装备正常运行，保护台城河、潭江台山段水事秩序，严格按行政执法三项制度有关要求完善补充执法器械、服装，依法开展水政监察工作。</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保证执法船只“台山水政01”号的正常运行，保护台城河、潭江台山段水事秩序，完善补充执法器械、服装，依法开展水政监察工作。</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751"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维修执法船数量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维修执法船数量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1艘</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1艘</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751"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工程故障发生次数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工程故障发生次数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0次</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0次</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31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经费支出及时性</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经费支出及时性=支出及时的金额/支出总金额*100%。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71"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预算超支率=（实际支出金额-预算金额）/预算金额*100%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429"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打击违法行为处置率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打击违法行为处置率=打击违法行为次数/发现违法行为次数*100%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保障执法装备安全</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保障执法装备安全</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生态效益指标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改善河道生态</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能够保障改善河道生态</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打击违法行为的可持续性</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持续打击违法行为</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长期持续</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长期持续</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01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群众满意度=感到满意的受访者数量/调查总人数*100%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≥90%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违法案件矿产资源采砂破坏价值鉴定费</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台山市水政监察大队</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2021</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1500000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eastAsia="宋体"/>
                <w:color w:val="auto"/>
                <w:sz w:val="22"/>
                <w:szCs w:val="22"/>
                <w:lang w:val="en-US" w:eastAsia="zh-CN"/>
              </w:rPr>
            </w:pPr>
            <w:r>
              <w:rPr>
                <w:rFonts w:hint="eastAsia"/>
                <w:color w:val="auto"/>
                <w:sz w:val="22"/>
                <w:szCs w:val="22"/>
                <w:lang w:val="en-US" w:eastAsia="zh-CN"/>
              </w:rPr>
              <w:t>50000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依据《广东省水利厅关于进一步加强和规范水政执法工作的通知》要求，委托第三方技术公司对涉嫌非法采矿案件的矿产资源破坏价值鉴定及测量，编制测量报告，鉴定报告及矿产资源破坏价值省级结论。为是否达到追究刑事标准提供依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依法查处水事违法行为案件，减少违法行为，保障河道安全性，改善河道的生态环境。</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2024年完成鉴定报告、测量报告≥1份，依法查处水事违法案件，减少违法行为，保障河道安全性，改善河道的生态环境。</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967"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鉴定报告</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出具矿产资源破坏价值鉴定报告数量</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3份</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≥1份</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77"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测量报告</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出具矿产资源破坏价值测量报告数量</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3份</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≥1份</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219"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报告验收通过率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报告验收通过率=验收通过的报告数量/完成的报告总数量*100%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378"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经费支出及时性</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经费支出及时性=支出及时的金额/支出总金额*100%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501"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预算超支率=（实际支出金额-预算金额）/预算金额*100%</w:t>
            </w:r>
          </w:p>
        </w:tc>
        <w:tc>
          <w:tcPr>
            <w:tcW w:w="146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≤0</w:t>
            </w:r>
          </w:p>
        </w:tc>
        <w:tc>
          <w:tcPr>
            <w:tcW w:w="146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45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违法行为处置率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违法行为处置率=打击违法行为次数/发生违法行为次数*100%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20"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生态效益指标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改善河道生态环境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改善河道生态环境</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391"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可持续影响指标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持续打击违法行为</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持续打击违法行为</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长期</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长期</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01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群众满意度=感到满意的受访者数量/调查总人数*100%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≥90%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防汛抗旱工作经费</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2021</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250000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50000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防汛抗旱工作是防灾减灾救灾的重要内容，根据省防总工作部署，汛期要做好防汛值班工作。市水利局需要使用经费落实24小时值班和领导带班制度，确保水利工程设施安全度汛，保障我市人民群众生命财产安全。2024年经费5万元主要用于值班餐费、应急网络和购买值班用品。其中值班费19440元，气象服务费3000元，值班用品1160元，光线和信息服务费26400元。</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按照三防指挥部的工作要求，每年开展汛期值班工作，落实24小时值班和领导带班制度，确保水利工程设施安全度汛，保障台山市群众生命财产安全。</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按照三防指挥部的工作要求，正常开展2024年汛期值班工作，支出用于防汛人员补贴、应急网络和值班用品购置等，落实24小时值班和领导带班制度，确保水利工程设施安全度汛，保障台山市群众生命财产安全。</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1741"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值班完成率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值班完成率=实际值班天数/汛期天数*100%。其中当天值班24小时且保留值班记录算作值班1天，汛期天数以省防总公布进入和结束汛期日期为准。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785"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汛期值班响应率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汛期值班响应率=险情及时响应次数/发生险情次数*100%。其中险情及时响应的判断标准包括进行险情应急处置、及时完成上报和后续跟踪。发生险情次数以2024年单位管辖范围内实际发生的险情次数为准，如险情次数为0，汛期值班响应率为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381"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预算超支率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预算超支率=（实际支出金额-预算金额）/预算金额*100%。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62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预警发布率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预警发布率=发布预警次数/产生预警次数*100%。指县级山洪灾害监测预警系统上发布预警和产生预警的次数。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477"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安全度汛</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反映汛期水利工程设施能否安全度汛、台山市群众生命财产安全能否得到保障。</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得到保障</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得到保障</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77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群众满意度=调查对象中感到满意的数量/调查对象的数量*100%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≥90%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台山市水利防汛山洪灾害应急专项经费</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专项资金</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2021</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51000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51000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应急物资仓库和山洪灾害群测群防体系的建设是我市应急管理体系的重要环节，是我市防汛应急抢险工作正常开展的重要保障。根据三防工作要求，我局建设了台山市水利防汛应急物资仓库，2023年需要管理经费5.1万元。其中管养维护费2万元、2020年台山市山洪灾害群测群防建设项目尾款3.1万元。</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eastAsia="宋体"/>
                <w:color w:val="auto"/>
                <w:sz w:val="22"/>
                <w:szCs w:val="22"/>
                <w:lang w:eastAsia="zh-CN"/>
              </w:rPr>
            </w:pPr>
            <w:r>
              <w:rPr>
                <w:rFonts w:hint="eastAsia"/>
                <w:color w:val="auto"/>
                <w:sz w:val="22"/>
                <w:szCs w:val="22"/>
              </w:rPr>
              <w:t>目标1：建设完成台山市水利防汛应急物资仓库，持续开展仓库管理工作，采购必须的抢险物资，保障应急物资仓库正常运行，为我市应急抢险工作提供物资保障;</w:t>
            </w:r>
          </w:p>
          <w:p>
            <w:pPr>
              <w:jc w:val="both"/>
              <w:rPr>
                <w:rFonts w:hint="eastAsia"/>
                <w:color w:val="auto"/>
                <w:sz w:val="22"/>
                <w:szCs w:val="22"/>
              </w:rPr>
            </w:pPr>
            <w:r>
              <w:rPr>
                <w:rFonts w:hint="eastAsia"/>
                <w:color w:val="auto"/>
                <w:sz w:val="22"/>
                <w:szCs w:val="22"/>
              </w:rPr>
              <w:t>目标2：完善我市山洪灾害群测群防体系，建立健全责任制体系、防御预案、监测预警、宣传培训演练等内容，实现山洪灾害不发生群死群伤的目标。</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eastAsia="宋体"/>
                <w:color w:val="auto"/>
                <w:sz w:val="22"/>
                <w:szCs w:val="22"/>
                <w:lang w:eastAsia="zh-CN"/>
              </w:rPr>
            </w:pPr>
            <w:r>
              <w:rPr>
                <w:rFonts w:hint="eastAsia"/>
                <w:color w:val="auto"/>
                <w:sz w:val="22"/>
                <w:szCs w:val="22"/>
              </w:rPr>
              <w:t>目标1：持续开展仓库运行管理工作，开展物资机械维修保养工作，及时响应物资调拨需求，为防汛抢险提供保障。</w:t>
            </w:r>
          </w:p>
          <w:p>
            <w:pPr>
              <w:jc w:val="both"/>
              <w:rPr>
                <w:rFonts w:hint="eastAsia"/>
                <w:color w:val="auto"/>
                <w:sz w:val="22"/>
                <w:szCs w:val="22"/>
              </w:rPr>
            </w:pPr>
            <w:r>
              <w:rPr>
                <w:rFonts w:hint="eastAsia"/>
                <w:color w:val="auto"/>
                <w:sz w:val="22"/>
                <w:szCs w:val="22"/>
              </w:rPr>
              <w:t>目标2：开展山洪灾害群测群防工作，保障全市12个山洪灾害危险区群众安全。</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仓储事故发生次数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仓储事故发生次数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44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山洪灾害预警率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山洪灾害预警率=发布山洪灾害预警次数/产生山洪灾害预警次数*100%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078"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付款及时率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付款及时率=及时付款金额/计划付款总金额*100%。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56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成本指标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支出成本合理性</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支出方向与计划相同，且未超成本。参照省、市防汛值班标准执行。</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合理</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合理</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682"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物资及时调拨率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物资及时调拨率=及时调拨物资次数/物资调拨需求次数*100%，“及时调拨物资”的判断标准为接到调拨申请后三个小时内完成调拨手续，“物资调拨需求”的判断标准为市政府、三防办或本部门发出调拨物资的申请。</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38"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山洪灾害危险区群众安全</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反映对全市12个山洪灾害危险区群众安全的保障情况。</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得到保障</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得到保障</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005"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物资调拨需求方满意度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物资调拨需求方满意度=调查对象中感到满意的数量/调查对象的数量*100%，调查对象为物资调拨需求方，调查方式为问卷调查。</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≥90%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tbl>
      <w:tblPr>
        <w:tblStyle w:val="9"/>
        <w:tblW w:w="8969" w:type="dxa"/>
        <w:tblInd w:w="0" w:type="dxa"/>
        <w:tblLayout w:type="autofit"/>
        <w:tblCellMar>
          <w:top w:w="0" w:type="dxa"/>
          <w:left w:w="0" w:type="dxa"/>
          <w:bottom w:w="0" w:type="dxa"/>
          <w:right w:w="0" w:type="dxa"/>
        </w:tblCellMar>
      </w:tblPr>
      <w:tblGrid>
        <w:gridCol w:w="720"/>
        <w:gridCol w:w="337"/>
        <w:gridCol w:w="684"/>
        <w:gridCol w:w="6"/>
        <w:gridCol w:w="91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893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台山市新一轮生活污水处理设施整市捆绑PPP项目绩效考核服务</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152"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60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2021</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2047</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91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28000000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210000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210000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87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lang w:eastAsia="zh-CN"/>
              </w:rPr>
              <w:t>根据</w:t>
            </w:r>
            <w:r>
              <w:rPr>
                <w:rFonts w:hint="eastAsia"/>
                <w:color w:val="auto"/>
                <w:sz w:val="22"/>
                <w:szCs w:val="22"/>
              </w:rPr>
              <w:t>广东省财政厅转发财政部关于印发《政府和社会资本合作（PPP）项目绩效管理操作指引》的通知（粤财金〔2020〕20号）和《台山市新一轮生活污水处理设施建设PPP项目合同》</w:t>
            </w:r>
            <w:r>
              <w:rPr>
                <w:rFonts w:hint="eastAsia"/>
                <w:color w:val="auto"/>
                <w:sz w:val="22"/>
                <w:szCs w:val="22"/>
                <w:lang w:eastAsia="zh-CN"/>
              </w:rPr>
              <w:t>要求</w:t>
            </w:r>
            <w:r>
              <w:rPr>
                <w:rFonts w:hint="eastAsia"/>
                <w:color w:val="auto"/>
                <w:sz w:val="22"/>
                <w:szCs w:val="22"/>
              </w:rPr>
              <w:t>对PPP项目运营设施开展绩效考核内容，其中镇级每季度开展一次，农村每半年开展一次。</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44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根据PPP项目管理办法，政府方应聘请第三方机构对 PPP项目运营情况实施绩效考核，镇级每季度开展一次，农村每半年开展一次。第三方编制的绩效考核报告作为政府方对PPP项目PPP运营单位支付服务费的付费依据，以此监督PPP项目执行情况，加强项目所含污水处理设施及配套管网的运营维护管理，促使项目公司及时发现问题并加以整改，推动项目公司提升运维水平，保障全市污水处理设施长效管理，确保发挥污水治理实效。</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严格按照时间节点，督促第三方对台山市新一轮生活污水处理设施整市捆绑PPP项目实施绩效考核并编制考核报告，根据绩考核报告确定应支服务费并及时支付，以确保PPP污水项目稳定运营。2024年镇级考核4次，村级考核2次。</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76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88"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76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数量指标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村级绩效考核频率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村级绩效考核频率</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2次/年</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2次/年</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576"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镇级绩效考核频率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镇级绩效考核频率</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4次/年</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4次/年</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81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考核报告达标率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报告成果经市水利局和项目公司共同认可。考核报告达标率=2024年考核报告达标数量/完成报告总数量*100%。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042"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完成及时性</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按照合同约定节点完成报告编制</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及时</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及时</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50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报告成果采纳率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报告成果采纳率=被使用单位采纳的报告数量/报告完成数量*100%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440"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生态效益指标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能否带动生态环境持续改善</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设施周边水体改善，带动生态环境持续改善</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能</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能</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864"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76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主管部门满意度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主管部门满意度评价</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p>
      <w:pPr>
        <w:jc w:val="center"/>
        <w:rPr>
          <w:rFonts w:hint="eastAsia"/>
          <w:sz w:val="22"/>
          <w:szCs w:val="22"/>
        </w:rPr>
      </w:pPr>
    </w:p>
    <w:tbl>
      <w:tblPr>
        <w:tblStyle w:val="9"/>
        <w:tblW w:w="9079" w:type="dxa"/>
        <w:tblInd w:w="0" w:type="dxa"/>
        <w:tblLayout w:type="autofit"/>
        <w:tblCellMar>
          <w:top w:w="0" w:type="dxa"/>
          <w:left w:w="0" w:type="dxa"/>
          <w:bottom w:w="0" w:type="dxa"/>
          <w:right w:w="0" w:type="dxa"/>
        </w:tblCellMar>
      </w:tblPr>
      <w:tblGrid>
        <w:gridCol w:w="720"/>
        <w:gridCol w:w="337"/>
        <w:gridCol w:w="684"/>
        <w:gridCol w:w="6"/>
        <w:gridCol w:w="102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904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民生水利工程配套资金</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2022</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5729600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534000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534000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依据台山市水利局部门职能要求，实施台山市桂南水库除险加固工程、台山市水利工程补短板攻坚计划2021年度工程项目、江门市西江潭江流域跨界重点支流综合治理工程（一期）EPC+O项目（台山项目区），支付费用5000万元，落实长效机制。</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55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55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完成8条中小河流治理工程、1个灌区节水配套改造项目、1个水库除险加固工程</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完成1宗灌区除险加固工程项目、消除水利工程安全隐患，逐步提升我市水利防灾抗灾能力；维护河长161.1km，河畅岸固，达到相应的防洪标准，群众满意度达90%，落实长效机制。</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87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87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数量指标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维护河长</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反映2024年实际维护河流长度。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161.1km</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161.1km</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水库除险加固工程</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水库除险加固工程数量</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1宗</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1宗</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工程受益人数</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实际工程受益人数</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≥3万人</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≥3万人</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工程质量合格率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工程质量合格率=验收合格的工程数/验收工程数*100%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工程完成及时率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工程完成及时率=及时完成的工程数量/完成的工程数量*100%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年度补助资金支出及时率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年度补助资金支出及时率=及时完成的养护工作数量/完成的养护工作数量*100%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775"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成本指标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工程是否超出批复概算</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工程实际投资是否超出批复概算</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否</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防灾减灾能力是否提升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解决安全隐患，防灾减灾能力提升</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是否达到相应的防洪标准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消除安全隐患，恢复工程功能，达到防洪标准。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生态效益指标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是否达到河畅岸固效果</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保证河道畅通、堤岸牢固</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可持续影响指标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是否落实长效机制</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解决工程隐患、问题，保证工程持续发挥功能效益。</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工程运行期限</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工程实际运行期限</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达到设计标准</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达到设计标准</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群众满意度=调查对象中感到满意的数量/调查对象的数量*100%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tbl>
      <w:tblPr>
        <w:tblStyle w:val="9"/>
        <w:tblW w:w="9079" w:type="dxa"/>
        <w:tblInd w:w="0" w:type="dxa"/>
        <w:tblLayout w:type="autofit"/>
        <w:tblCellMar>
          <w:top w:w="0" w:type="dxa"/>
          <w:left w:w="0" w:type="dxa"/>
          <w:bottom w:w="0" w:type="dxa"/>
          <w:right w:w="0" w:type="dxa"/>
        </w:tblCellMar>
      </w:tblPr>
      <w:tblGrid>
        <w:gridCol w:w="720"/>
        <w:gridCol w:w="337"/>
        <w:gridCol w:w="684"/>
        <w:gridCol w:w="6"/>
        <w:gridCol w:w="1020"/>
        <w:gridCol w:w="1549"/>
        <w:gridCol w:w="1792"/>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904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跨界重点支流凤河防洪湖复绿措施费</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1549"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4727"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1549"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4727"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2023</w:t>
            </w:r>
          </w:p>
        </w:tc>
        <w:tc>
          <w:tcPr>
            <w:tcW w:w="1549"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4727"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1170000</w:t>
            </w:r>
          </w:p>
        </w:tc>
        <w:tc>
          <w:tcPr>
            <w:tcW w:w="1549"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525000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525000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项目概述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由于市工业新城管委会在未完善江门市西江潭江流域跨界重点支流综合治理项目(一期)（台山项目区）凤河防洪湖项目建设用地手续前提下，提供用地给台山市水利局下属单位台山市水利工程建设管理中心实施土地平整。根据《台城街道办凤河防洪湖项目违法用地整改协调会》的要求，需要对已平整的土地实施复垦。现需安排此措施费预算用于土地整改复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3259"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4727"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3259"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根据《江门市全面推行河长制工作领导小组关于印发&lt;江门市西江潭江流域跨界重点支流综合治理工程（一期）建设工作方案（2020-2025年）&gt;的通知（江河发〔2020〕15号）和江门市发改局《关于江门市西江潭江流域跨界重点支流综合治理工程（一期）可行性研究报告的批复》（江发改社农〔2020〕138 号）的要求，开展江门市西江潭江流域跨界重点支流综合治理项目(一期)（台山项目区）凤河湖项目。年度完成凤河防洪湖土地复垦1处，质量要求合格，年度资金支付率100%，群众满意度达90%以上。</w:t>
            </w:r>
          </w:p>
        </w:tc>
        <w:tc>
          <w:tcPr>
            <w:tcW w:w="4727"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年度完成凤河防洪湖土地复垦1处，质量要求合格，年度资金支付率100%，群众满意度达90%以上。</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2575"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1792"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575"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792"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1200"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产出指标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数量指标</w:t>
            </w:r>
          </w:p>
        </w:tc>
        <w:tc>
          <w:tcPr>
            <w:tcW w:w="2575"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土地复垦完成率</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土地复垦完成率=土地复垦面积/计划复垦面积*100%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1065"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10"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54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工程质量达标率</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工程质量达标率=工程质量达标数量/工程总数量*100%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10"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54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资金支付及时率</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资金支付及时率=及时支付的复垦费金额/计划支付的复垦费金额*100%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10"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成本指标</w:t>
            </w:r>
          </w:p>
        </w:tc>
        <w:tc>
          <w:tcPr>
            <w:tcW w:w="154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土地复垦成本</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凤河防洪湖土地复垦成本</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不超预算金额</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不超预算金额</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1710"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54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完善建设用地手续</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项目的实施有利于完善建设用地手续，确保凤河防洪湖项目手续完备</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710"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生态效益指标</w:t>
            </w:r>
          </w:p>
        </w:tc>
        <w:tc>
          <w:tcPr>
            <w:tcW w:w="154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是否促进生态环境保护</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项目的实施是否促进生态环境保护</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是</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1710"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54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w:t>
            </w:r>
          </w:p>
        </w:tc>
        <w:tc>
          <w:tcPr>
            <w:tcW w:w="179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群众满意度=感到满意的群众人数/接受满意度调查的群众人数*100%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≥90%</w:t>
            </w:r>
          </w:p>
        </w:tc>
        <w:tc>
          <w:tcPr>
            <w:tcW w:w="36" w:type="dxa"/>
            <w:vAlign w:val="center"/>
          </w:tcPr>
          <w:p>
            <w:pPr>
              <w:rPr>
                <w:rFonts w:ascii="Times New Roman" w:hAnsi="Times New Roman" w:eastAsia="Times New Roman" w:cs="Times New Roman"/>
                <w:color w:val="auto"/>
                <w:sz w:val="20"/>
                <w:szCs w:val="20"/>
              </w:rPr>
            </w:pPr>
          </w:p>
        </w:tc>
      </w:tr>
    </w:tbl>
    <w:p>
      <w:pPr>
        <w:jc w:val="center"/>
        <w:rPr>
          <w:rFonts w:hint="eastAsia"/>
          <w:sz w:val="22"/>
          <w:szCs w:val="22"/>
        </w:rPr>
      </w:pPr>
      <w:r>
        <w:rPr>
          <w:rFonts w:hint="eastAsia"/>
          <w:sz w:val="22"/>
          <w:szCs w:val="22"/>
        </w:rPr>
        <w:br w:type="page"/>
      </w:r>
    </w:p>
    <w:tbl>
      <w:tblPr>
        <w:tblStyle w:val="9"/>
        <w:tblW w:w="9079" w:type="dxa"/>
        <w:tblInd w:w="0" w:type="dxa"/>
        <w:tblLayout w:type="autofit"/>
        <w:tblCellMar>
          <w:top w:w="0" w:type="dxa"/>
          <w:left w:w="0" w:type="dxa"/>
          <w:bottom w:w="0" w:type="dxa"/>
          <w:right w:w="0" w:type="dxa"/>
        </w:tblCellMar>
      </w:tblPr>
      <w:tblGrid>
        <w:gridCol w:w="720"/>
        <w:gridCol w:w="337"/>
        <w:gridCol w:w="684"/>
        <w:gridCol w:w="6"/>
        <w:gridCol w:w="102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904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市本级部门预算项目绩效目标表</w:t>
            </w: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农业水价综合改革节水奖励</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500000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100000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项目概述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农业综合水价改革过程中，为激励节约用水，对采取节水措施、调整生产模式促进农业节水的农民用水合作组织或不同规模用水户给予资金奖励的专项活动。</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55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55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推进我市农业水价综合改革，对完成我市节水项目单位进行资金奖励，资金可由各镇（街）统筹用于所在镇（街）水利、农业基础设施建设或后期管护等支持乡村振兴发展项目，提高节水性能，提高农业用水效率，促进水资源科持续利用，大力推广节约用水，保障农民及农业经营组织发展生产的积极性发展。</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推进我市农业水价综合改革，按照定额内用水量灌区补贴标准2元/亩/年；灌溉用水定额内用水量每减少10%，奖励0.022元/亩的标准，对完成我市节水项目单位进行资金奖励，资金可由各镇（街）统筹用于所在镇（街）水利、农业基础设施建设或后期管护等支持乡村振兴发展项目，提高节水性能，保障农民及农业经营组织发展生产的积极性发展。</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87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87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Times New Roman" w:hAnsi="Times New Roman" w:eastAsia="Times New Roman" w:cs="Times New Roman"/>
                <w:color w:val="auto"/>
                <w:sz w:val="20"/>
                <w:szCs w:val="20"/>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数量指标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定额内用水量灌区补贴标准</w:t>
            </w:r>
          </w:p>
        </w:tc>
        <w:tc>
          <w:tcPr>
            <w:tcW w:w="249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定额内用</w:t>
            </w:r>
            <w:r>
              <w:rPr>
                <w:rFonts w:hint="eastAsia"/>
                <w:vanish/>
                <w:color w:val="auto"/>
                <w:sz w:val="22"/>
                <w:szCs w:val="22"/>
              </w:rPr>
              <w:t>水量灌区补贴标准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2元/亩/年</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2元/亩/年</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eastAsia="Times New Roman" w:cs="Times New Roman"/>
                <w:color w:val="auto"/>
                <w:sz w:val="20"/>
                <w:szCs w:val="20"/>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农业用水节水奖励标准</w:t>
            </w:r>
          </w:p>
        </w:tc>
        <w:tc>
          <w:tcPr>
            <w:tcW w:w="249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农业用水</w:t>
            </w:r>
            <w:r>
              <w:rPr>
                <w:rFonts w:hint="eastAsia"/>
                <w:vanish/>
                <w:color w:val="auto"/>
                <w:sz w:val="22"/>
                <w:szCs w:val="22"/>
              </w:rPr>
              <w:t>节水奖励标准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灌溉用水定额内用水量每减少10%，奖励0.022元/亩</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灌溉用水定额内用水量每减少10%，奖励0.022元/亩</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eastAsia="Times New Roman" w:cs="Times New Roman"/>
                <w:color w:val="auto"/>
                <w:sz w:val="20"/>
                <w:szCs w:val="20"/>
              </w:rPr>
            </w:pP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质量指标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奖励对象准确性</w:t>
            </w:r>
          </w:p>
        </w:tc>
        <w:tc>
          <w:tcPr>
            <w:tcW w:w="249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农业用水</w:t>
            </w:r>
            <w:r>
              <w:rPr>
                <w:rFonts w:hint="eastAsia"/>
                <w:vanish/>
                <w:color w:val="auto"/>
                <w:sz w:val="22"/>
                <w:szCs w:val="22"/>
              </w:rPr>
              <w:t>精准补贴对象：行政事业单位、各村委会、节水农户、新型农业经营组织等；农业用水节水奖励对象：实现节水的规模经营主体、农民用水合作组织和农业用水户。</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准确</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准确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eastAsia="Times New Roman" w:cs="Times New Roman"/>
                <w:color w:val="auto"/>
                <w:sz w:val="20"/>
                <w:szCs w:val="20"/>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发放金额准确率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考察补助资金发放准确情况。发放金额准确率=准确发放补助资金数额/实际发放资金数额*100%。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eastAsia="Times New Roman" w:cs="Times New Roman"/>
                <w:color w:val="auto"/>
                <w:sz w:val="20"/>
                <w:szCs w:val="20"/>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时效指标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奖励资金发放及时率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奖励资金发放及时率=在规定时限内发放的补助资金/实际发放的补助资金*100%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改善合理用水，建设节水型社会</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用水量更加规范，节约用水效果明显</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促进</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促进</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社会节水意识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控制了用水量、减少用水消耗、优化用水途径</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加强</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加强</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生态效益</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水资源利用水平</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水资源开发利用的程度</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提升</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提升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奖补对象满意度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考察奖补对象的满意情况。奖补对象满意度=感到满意的奖补对象数量/参加调查的奖补对象数量*100%。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tcBorders>
              <w:top w:val="nil"/>
              <w:left w:val="nil"/>
              <w:bottom w:val="nil"/>
              <w:right w:val="nil"/>
            </w:tcBorders>
            <w:noWrap/>
            <w:tcMar>
              <w:top w:w="15" w:type="dxa"/>
              <w:left w:w="15" w:type="dxa"/>
              <w:bottom w:w="0" w:type="dxa"/>
              <w:right w:w="15" w:type="dxa"/>
            </w:tcMar>
            <w:vAlign w:val="center"/>
          </w:tcPr>
          <w:p>
            <w:pPr>
              <w:jc w:val="both"/>
              <w:rPr>
                <w:rFonts w:hint="eastAsia"/>
                <w:color w:val="auto"/>
                <w:sz w:val="22"/>
                <w:szCs w:val="22"/>
              </w:rPr>
            </w:pPr>
          </w:p>
        </w:tc>
        <w:tc>
          <w:tcPr>
            <w:tcW w:w="337" w:type="dxa"/>
            <w:vAlign w:val="center"/>
          </w:tcPr>
          <w:p>
            <w:pPr>
              <w:rPr>
                <w:rFonts w:ascii="Times New Roman" w:hAnsi="Times New Roman" w:eastAsia="Times New Roman" w:cs="Times New Roman"/>
                <w:color w:val="auto"/>
                <w:sz w:val="20"/>
                <w:szCs w:val="20"/>
              </w:rPr>
            </w:pPr>
          </w:p>
        </w:tc>
        <w:tc>
          <w:tcPr>
            <w:tcW w:w="684" w:type="dxa"/>
            <w:vAlign w:val="center"/>
          </w:tcPr>
          <w:p>
            <w:pPr>
              <w:rPr>
                <w:rFonts w:ascii="Times New Roman" w:hAnsi="Times New Roman" w:eastAsia="Times New Roman" w:cs="Times New Roman"/>
                <w:color w:val="auto"/>
                <w:sz w:val="20"/>
                <w:szCs w:val="20"/>
              </w:rPr>
            </w:pPr>
          </w:p>
        </w:tc>
        <w:tc>
          <w:tcPr>
            <w:tcW w:w="6" w:type="dxa"/>
            <w:vAlign w:val="center"/>
          </w:tcPr>
          <w:p>
            <w:pPr>
              <w:rPr>
                <w:rFonts w:ascii="Times New Roman" w:hAnsi="Times New Roman" w:eastAsia="Times New Roman" w:cs="Times New Roman"/>
                <w:color w:val="auto"/>
                <w:sz w:val="20"/>
                <w:szCs w:val="20"/>
              </w:rPr>
            </w:pPr>
          </w:p>
        </w:tc>
        <w:tc>
          <w:tcPr>
            <w:tcW w:w="1020" w:type="dxa"/>
            <w:vAlign w:val="center"/>
          </w:tcPr>
          <w:p>
            <w:pPr>
              <w:rPr>
                <w:rFonts w:ascii="Times New Roman" w:hAnsi="Times New Roman" w:eastAsia="Times New Roman" w:cs="Times New Roman"/>
                <w:color w:val="auto"/>
                <w:sz w:val="20"/>
                <w:szCs w:val="20"/>
              </w:rPr>
            </w:pPr>
          </w:p>
        </w:tc>
        <w:tc>
          <w:tcPr>
            <w:tcW w:w="846" w:type="dxa"/>
            <w:vAlign w:val="center"/>
          </w:tcPr>
          <w:p>
            <w:pPr>
              <w:rPr>
                <w:rFonts w:ascii="Times New Roman" w:hAnsi="Times New Roman" w:eastAsia="Times New Roman" w:cs="Times New Roman"/>
                <w:color w:val="auto"/>
                <w:sz w:val="20"/>
                <w:szCs w:val="20"/>
              </w:rPr>
            </w:pPr>
          </w:p>
        </w:tc>
        <w:tc>
          <w:tcPr>
            <w:tcW w:w="2495" w:type="dxa"/>
            <w:vAlign w:val="center"/>
          </w:tcPr>
          <w:p>
            <w:pPr>
              <w:rPr>
                <w:rFonts w:ascii="Times New Roman" w:hAnsi="Times New Roman" w:eastAsia="Times New Roman" w:cs="Times New Roman"/>
                <w:color w:val="auto"/>
                <w:sz w:val="20"/>
                <w:szCs w:val="20"/>
              </w:rPr>
            </w:pPr>
          </w:p>
        </w:tc>
        <w:tc>
          <w:tcPr>
            <w:tcW w:w="1467" w:type="dxa"/>
            <w:vAlign w:val="center"/>
          </w:tcPr>
          <w:p>
            <w:pPr>
              <w:rPr>
                <w:rFonts w:ascii="Times New Roman" w:hAnsi="Times New Roman" w:eastAsia="Times New Roman" w:cs="Times New Roman"/>
                <w:color w:val="auto"/>
                <w:sz w:val="20"/>
                <w:szCs w:val="20"/>
              </w:rPr>
            </w:pPr>
          </w:p>
        </w:tc>
        <w:tc>
          <w:tcPr>
            <w:tcW w:w="1468" w:type="dxa"/>
            <w:vAlign w:val="center"/>
          </w:tcPr>
          <w:p>
            <w:pPr>
              <w:rPr>
                <w:rFonts w:ascii="Times New Roman" w:hAnsi="Times New Roman" w:eastAsia="Times New Roman" w:cs="Times New Roman"/>
                <w:color w:val="auto"/>
                <w:sz w:val="20"/>
                <w:szCs w:val="20"/>
              </w:rPr>
            </w:pPr>
          </w:p>
        </w:tc>
        <w:tc>
          <w:tcPr>
            <w:tcW w:w="36" w:type="dxa"/>
            <w:vAlign w:val="center"/>
          </w:tcPr>
          <w:p>
            <w:pPr>
              <w:rPr>
                <w:rFonts w:ascii="Times New Roman" w:hAnsi="Times New Roman" w:eastAsia="Times New Roman" w:cs="Times New Roman"/>
                <w:color w:val="auto"/>
                <w:sz w:val="20"/>
                <w:szCs w:val="20"/>
              </w:rPr>
            </w:pPr>
          </w:p>
        </w:tc>
      </w:tr>
    </w:tbl>
    <w:p/>
    <w:p/>
    <w:p/>
    <w:p/>
    <w:p/>
    <w:p/>
    <w:p/>
    <w:p/>
    <w:p/>
    <w:p/>
    <w:p/>
    <w:p/>
    <w:p/>
    <w:p/>
    <w:p/>
    <w:p/>
    <w:p/>
    <w:p/>
    <w:p/>
    <w:p/>
    <w:p/>
    <w:p/>
    <w:p/>
    <w:p/>
    <w:p/>
    <w:p/>
    <w:p/>
    <w:p/>
    <w:tbl>
      <w:tblPr>
        <w:tblStyle w:val="9"/>
        <w:tblW w:w="9079" w:type="dxa"/>
        <w:tblInd w:w="0" w:type="dxa"/>
        <w:tblLayout w:type="autofit"/>
        <w:tblCellMar>
          <w:top w:w="0" w:type="dxa"/>
          <w:left w:w="0" w:type="dxa"/>
          <w:bottom w:w="0" w:type="dxa"/>
          <w:right w:w="0" w:type="dxa"/>
        </w:tblCellMar>
      </w:tblPr>
      <w:tblGrid>
        <w:gridCol w:w="720"/>
        <w:gridCol w:w="337"/>
        <w:gridCol w:w="684"/>
        <w:gridCol w:w="6"/>
        <w:gridCol w:w="1020"/>
        <w:gridCol w:w="846"/>
        <w:gridCol w:w="2495"/>
        <w:gridCol w:w="1467"/>
        <w:gridCol w:w="1468"/>
        <w:gridCol w:w="36"/>
      </w:tblGrid>
      <w:tr>
        <w:tblPrEx>
          <w:tblCellMar>
            <w:top w:w="0" w:type="dxa"/>
            <w:left w:w="0" w:type="dxa"/>
            <w:bottom w:w="0" w:type="dxa"/>
            <w:right w:w="0" w:type="dxa"/>
          </w:tblCellMar>
        </w:tblPrEx>
        <w:trPr>
          <w:gridAfter w:val="1"/>
          <w:wAfter w:w="36" w:type="dxa"/>
          <w:trHeight w:val="564" w:hRule="atLeast"/>
        </w:trPr>
        <w:tc>
          <w:tcPr>
            <w:tcW w:w="9043" w:type="dxa"/>
            <w:gridSpan w:val="9"/>
            <w:tcBorders>
              <w:top w:val="nil"/>
              <w:left w:val="nil"/>
              <w:bottom w:val="nil"/>
              <w:right w:val="nil"/>
            </w:tcBorders>
            <w:noWrap/>
            <w:tcMar>
              <w:top w:w="15" w:type="dxa"/>
              <w:left w:w="15" w:type="dxa"/>
              <w:bottom w:w="0" w:type="dxa"/>
              <w:right w:w="15" w:type="dxa"/>
            </w:tcMar>
            <w:vAlign w:val="center"/>
          </w:tcPr>
          <w:p>
            <w:pPr>
              <w:jc w:val="center"/>
              <w:rPr>
                <w:rFonts w:ascii="黑体" w:hAnsi="黑体" w:eastAsia="黑体"/>
                <w:color w:val="auto"/>
                <w:sz w:val="28"/>
                <w:szCs w:val="28"/>
              </w:rPr>
            </w:pPr>
            <w:r>
              <w:rPr>
                <w:rFonts w:hint="eastAsia" w:ascii="黑体" w:hAnsi="黑体" w:eastAsia="黑体"/>
                <w:color w:val="auto"/>
                <w:sz w:val="28"/>
                <w:szCs w:val="28"/>
              </w:rPr>
              <w:t>2024年</w:t>
            </w:r>
            <w:r>
              <w:rPr>
                <w:rFonts w:hint="eastAsia" w:ascii="黑体" w:hAnsi="黑体" w:eastAsia="黑体"/>
                <w:color w:val="auto"/>
                <w:sz w:val="28"/>
                <w:szCs w:val="28"/>
                <w:lang w:val="en-US" w:eastAsia="zh-CN"/>
              </w:rPr>
              <w:t>台山</w:t>
            </w:r>
            <w:r>
              <w:rPr>
                <w:rFonts w:hint="eastAsia" w:ascii="黑体" w:hAnsi="黑体" w:eastAsia="黑体"/>
                <w:color w:val="auto"/>
                <w:sz w:val="28"/>
                <w:szCs w:val="28"/>
              </w:rPr>
              <w:t>市本级部门预算项目绩效目标</w:t>
            </w:r>
            <w:bookmarkStart w:id="0" w:name="_GoBack"/>
            <w:bookmarkEnd w:id="0"/>
            <w:r>
              <w:rPr>
                <w:rFonts w:hint="eastAsia" w:ascii="黑体" w:hAnsi="黑体" w:eastAsia="黑体"/>
                <w:color w:val="auto"/>
                <w:sz w:val="28"/>
                <w:szCs w:val="28"/>
              </w:rPr>
              <w:t>表</w:t>
            </w: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项目名称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台山市水利展馆运行维护项目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项目等级</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二级项目</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项目类别</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其他特定目标类</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是否政府采购</w:t>
            </w:r>
          </w:p>
          <w:p>
            <w:pPr>
              <w:jc w:val="center"/>
              <w:rPr>
                <w:rFonts w:hint="eastAsia"/>
                <w:color w:val="auto"/>
                <w:sz w:val="22"/>
                <w:szCs w:val="22"/>
              </w:rPr>
            </w:pPr>
            <w:r>
              <w:rPr>
                <w:rFonts w:hint="eastAsia"/>
                <w:color w:val="auto"/>
                <w:sz w:val="22"/>
                <w:szCs w:val="22"/>
              </w:rPr>
              <w:t>（二级项目填报）</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否</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主管部门</w:t>
            </w:r>
          </w:p>
        </w:tc>
        <w:tc>
          <w:tcPr>
            <w:tcW w:w="171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用款单位</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台山市水利局</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实施期限</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起始年度</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到期年度</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2029</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预算金额</w:t>
            </w:r>
          </w:p>
        </w:tc>
        <w:tc>
          <w:tcPr>
            <w:tcW w:w="69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总金额（元）</w:t>
            </w:r>
          </w:p>
        </w:tc>
        <w:tc>
          <w:tcPr>
            <w:tcW w:w="1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1800000</w:t>
            </w:r>
          </w:p>
        </w:tc>
        <w:tc>
          <w:tcPr>
            <w:tcW w:w="846"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当年度金额（元）</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300000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2024年年初预算数（元）</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240000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项目概述</w:t>
            </w:r>
          </w:p>
        </w:tc>
        <w:tc>
          <w:tcPr>
            <w:tcW w:w="7986" w:type="dxa"/>
            <w:gridSpan w:val="7"/>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台山市水利展馆运行管护及设备维护、日常管理经费。</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1057"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r>
              <w:rPr>
                <w:rFonts w:hint="eastAsia"/>
                <w:color w:val="auto"/>
                <w:sz w:val="22"/>
                <w:szCs w:val="22"/>
              </w:rPr>
              <w:t>总体绩效目标</w:t>
            </w:r>
          </w:p>
          <w:p>
            <w:pPr>
              <w:jc w:val="center"/>
              <w:rPr>
                <w:rFonts w:hint="eastAsia"/>
                <w:color w:val="auto"/>
                <w:sz w:val="22"/>
                <w:szCs w:val="22"/>
              </w:rPr>
            </w:pPr>
            <w:r>
              <w:rPr>
                <w:rFonts w:hint="eastAsia"/>
                <w:color w:val="auto"/>
                <w:sz w:val="22"/>
                <w:szCs w:val="22"/>
              </w:rPr>
              <w:t>（30字以上）</w:t>
            </w:r>
          </w:p>
        </w:tc>
        <w:tc>
          <w:tcPr>
            <w:tcW w:w="255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实施周期总目标（跨年度项目需填写）</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当年度目标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3764" w:hRule="atLeast"/>
        </w:trPr>
        <w:tc>
          <w:tcPr>
            <w:tcW w:w="1057" w:type="dxa"/>
            <w:gridSpan w:val="2"/>
            <w:vMerge w:val="continue"/>
            <w:tcBorders>
              <w:top w:val="single" w:color="auto" w:sz="4" w:space="0"/>
              <w:left w:val="single" w:color="auto" w:sz="4" w:space="0"/>
              <w:bottom w:val="single" w:color="auto" w:sz="4" w:space="0"/>
              <w:right w:val="single" w:color="auto" w:sz="4" w:space="0"/>
            </w:tcBorders>
            <w:vAlign w:val="center"/>
          </w:tcPr>
          <w:p>
            <w:pPr>
              <w:rPr>
                <w:color w:val="auto"/>
                <w:sz w:val="22"/>
                <w:szCs w:val="22"/>
              </w:rPr>
            </w:pPr>
          </w:p>
        </w:tc>
        <w:tc>
          <w:tcPr>
            <w:tcW w:w="2556"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rPr>
              <w:t>对水利展馆运行管护及设备维护、日常管理经费，有效保障水利展馆的顺利运行。</w:t>
            </w:r>
          </w:p>
        </w:tc>
        <w:tc>
          <w:tcPr>
            <w:tcW w:w="5430"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对水利展馆运行管护及设备维护、日常管理经费，有效保障水利展馆的顺利运行。</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绩效指标</w:t>
            </w: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一级指标</w:t>
            </w:r>
          </w:p>
        </w:tc>
        <w:tc>
          <w:tcPr>
            <w:tcW w:w="684"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二级指标</w:t>
            </w:r>
          </w:p>
        </w:tc>
        <w:tc>
          <w:tcPr>
            <w:tcW w:w="1872" w:type="dxa"/>
            <w:gridSpan w:val="3"/>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三级指标</w:t>
            </w:r>
          </w:p>
        </w:tc>
        <w:tc>
          <w:tcPr>
            <w:tcW w:w="2495"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指标解释</w:t>
            </w:r>
          </w:p>
        </w:tc>
        <w:tc>
          <w:tcPr>
            <w:tcW w:w="146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实施周期指标值</w:t>
            </w:r>
          </w:p>
        </w:tc>
        <w:tc>
          <w:tcPr>
            <w:tcW w:w="1468"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当年度指标值</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684"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872" w:type="dxa"/>
            <w:gridSpan w:val="3"/>
            <w:vMerge w:val="continue"/>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2495"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7"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1468" w:type="dxa"/>
            <w:vMerge w:val="continue"/>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color w:val="auto"/>
                <w:sz w:val="22"/>
                <w:szCs w:val="22"/>
              </w:rPr>
            </w:pPr>
          </w:p>
        </w:tc>
        <w:tc>
          <w:tcPr>
            <w:tcW w:w="36" w:type="dxa"/>
            <w:tcBorders>
              <w:top w:val="nil"/>
              <w:left w:val="nil"/>
              <w:bottom w:val="nil"/>
              <w:right w:val="nil"/>
            </w:tcBorders>
            <w:noWrap/>
            <w:tcMar>
              <w:top w:w="15" w:type="dxa"/>
              <w:left w:w="15" w:type="dxa"/>
              <w:bottom w:w="0" w:type="dxa"/>
              <w:right w:w="15" w:type="dxa"/>
            </w:tcMar>
            <w:vAlign w:val="center"/>
          </w:tcPr>
          <w:p>
            <w:pPr>
              <w:jc w:val="center"/>
              <w:rPr>
                <w:rFonts w:hint="eastAsia"/>
                <w:color w:val="auto"/>
                <w:sz w:val="22"/>
                <w:szCs w:val="22"/>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Times New Roman" w:hAnsi="Times New Roman" w:eastAsia="Times New Roman" w:cs="Times New Roman"/>
                <w:color w:val="auto"/>
                <w:sz w:val="20"/>
                <w:szCs w:val="20"/>
              </w:rPr>
            </w:pPr>
          </w:p>
        </w:tc>
        <w:tc>
          <w:tcPr>
            <w:tcW w:w="684"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color w:val="auto"/>
                <w:sz w:val="22"/>
                <w:szCs w:val="22"/>
              </w:rPr>
            </w:pPr>
            <w:r>
              <w:rPr>
                <w:rFonts w:hint="eastAsia"/>
                <w:color w:val="auto"/>
                <w:sz w:val="22"/>
                <w:szCs w:val="22"/>
              </w:rPr>
              <w:t>数量指标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完成项目数</w:t>
            </w:r>
          </w:p>
        </w:tc>
        <w:tc>
          <w:tcPr>
            <w:tcW w:w="249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完成项目数量</w:t>
            </w:r>
            <w:r>
              <w:rPr>
                <w:rFonts w:hint="eastAsia"/>
                <w:vanish/>
                <w:color w:val="auto"/>
                <w:sz w:val="22"/>
                <w:szCs w:val="22"/>
              </w:rPr>
              <w:t>水量灌区补贴标准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eastAsia="宋体"/>
                <w:color w:val="auto"/>
                <w:sz w:val="22"/>
                <w:szCs w:val="22"/>
                <w:lang w:eastAsia="zh-CN"/>
              </w:rPr>
            </w:pPr>
            <w:r>
              <w:rPr>
                <w:rFonts w:hint="eastAsia"/>
                <w:color w:val="auto"/>
                <w:sz w:val="22"/>
                <w:szCs w:val="22"/>
                <w:lang w:val="en-US" w:eastAsia="zh-CN"/>
              </w:rPr>
              <w:t>1</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eastAsia="宋体"/>
                <w:color w:val="auto"/>
                <w:sz w:val="22"/>
                <w:szCs w:val="22"/>
                <w:lang w:eastAsia="zh-CN"/>
              </w:rPr>
            </w:pPr>
            <w:r>
              <w:rPr>
                <w:rFonts w:hint="eastAsia"/>
                <w:color w:val="auto"/>
                <w:sz w:val="22"/>
                <w:szCs w:val="22"/>
                <w:lang w:val="en-US" w:eastAsia="zh-CN"/>
              </w:rPr>
              <w:t>1</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eastAsia="Times New Roman" w:cs="Times New Roman"/>
                <w:color w:val="auto"/>
                <w:sz w:val="20"/>
                <w:szCs w:val="20"/>
              </w:rPr>
            </w:pPr>
          </w:p>
        </w:tc>
        <w:tc>
          <w:tcPr>
            <w:tcW w:w="684" w:type="dxa"/>
            <w:tcBorders>
              <w:top w:val="nil"/>
              <w:left w:val="single" w:color="auto" w:sz="4" w:space="0"/>
              <w:bottom w:val="single" w:color="auto" w:sz="4" w:space="0"/>
              <w:right w:val="single" w:color="auto" w:sz="4" w:space="0"/>
            </w:tcBorders>
            <w:vAlign w:val="center"/>
          </w:tcPr>
          <w:p>
            <w:pPr>
              <w:rPr>
                <w:color w:val="auto"/>
                <w:sz w:val="22"/>
                <w:szCs w:val="22"/>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验收合格率</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 xml:space="preserve">各项工作的验收情况 </w:t>
            </w:r>
          </w:p>
          <w:p>
            <w:pPr>
              <w:jc w:val="both"/>
              <w:rPr>
                <w:rFonts w:hint="eastAsia"/>
                <w:color w:val="auto"/>
                <w:sz w:val="22"/>
                <w:szCs w:val="22"/>
              </w:rPr>
            </w:pP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100%</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restart"/>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效益指标</w:t>
            </w:r>
          </w:p>
        </w:tc>
        <w:tc>
          <w:tcPr>
            <w:tcW w:w="684" w:type="dxa"/>
            <w:vMerge w:val="restart"/>
            <w:tcBorders>
              <w:top w:val="nil"/>
              <w:left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社会效益指标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提升公共服务供给质量</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提升公共服务供给质量，对社会发展所带来的直接或间接影响</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提升</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提升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684" w:type="dxa"/>
            <w:vMerge w:val="continue"/>
            <w:tcBorders>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eastAsia="宋体"/>
                <w:color w:val="auto"/>
                <w:sz w:val="22"/>
                <w:szCs w:val="22"/>
                <w:lang w:eastAsia="zh-CN"/>
              </w:rPr>
            </w:pP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color w:val="auto"/>
                <w:sz w:val="22"/>
                <w:szCs w:val="22"/>
              </w:rPr>
            </w:pPr>
            <w:r>
              <w:rPr>
                <w:rFonts w:hint="eastAsia"/>
                <w:color w:val="auto"/>
                <w:sz w:val="22"/>
                <w:szCs w:val="22"/>
              </w:rPr>
              <w:t>提升全民知水、爱水、护水、节水的意识</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eastAsia="宋体"/>
                <w:color w:val="auto"/>
                <w:sz w:val="22"/>
                <w:szCs w:val="22"/>
                <w:lang w:eastAsia="zh-CN"/>
              </w:rPr>
            </w:pPr>
            <w:r>
              <w:rPr>
                <w:rFonts w:hint="eastAsia"/>
                <w:color w:val="auto"/>
                <w:sz w:val="22"/>
                <w:szCs w:val="22"/>
                <w:lang w:eastAsia="zh-CN"/>
              </w:rPr>
              <w:t>提升</w:t>
            </w:r>
            <w:r>
              <w:rPr>
                <w:rFonts w:hint="eastAsia"/>
                <w:color w:val="auto"/>
                <w:sz w:val="22"/>
                <w:szCs w:val="22"/>
              </w:rPr>
              <w:t>全民</w:t>
            </w:r>
            <w:r>
              <w:rPr>
                <w:rFonts w:hint="eastAsia"/>
                <w:color w:val="auto"/>
                <w:sz w:val="22"/>
                <w:szCs w:val="22"/>
                <w:lang w:eastAsia="zh-CN"/>
              </w:rPr>
              <w:t>珍惜水的意识</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lang w:eastAsia="zh-CN"/>
              </w:rPr>
              <w:t>提升</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lang w:eastAsia="zh-CN"/>
              </w:rPr>
              <w:t>提升</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vMerge w:val="continue"/>
            <w:tcBorders>
              <w:top w:val="nil"/>
              <w:left w:val="single" w:color="auto" w:sz="4" w:space="0"/>
              <w:bottom w:val="single" w:color="auto" w:sz="4" w:space="0"/>
              <w:right w:val="single" w:color="auto" w:sz="4" w:space="0"/>
            </w:tcBorders>
            <w:vAlign w:val="center"/>
          </w:tcPr>
          <w:p>
            <w:pPr>
              <w:rPr>
                <w:color w:val="auto"/>
                <w:sz w:val="22"/>
                <w:szCs w:val="22"/>
              </w:rPr>
            </w:pPr>
          </w:p>
        </w:tc>
        <w:tc>
          <w:tcPr>
            <w:tcW w:w="33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满意度指标</w:t>
            </w:r>
          </w:p>
        </w:tc>
        <w:tc>
          <w:tcPr>
            <w:tcW w:w="684"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eastAsia"/>
                <w:color w:val="auto"/>
                <w:sz w:val="22"/>
                <w:szCs w:val="22"/>
              </w:rPr>
            </w:pPr>
            <w:r>
              <w:rPr>
                <w:rFonts w:hint="eastAsia"/>
                <w:color w:val="auto"/>
                <w:sz w:val="22"/>
                <w:szCs w:val="22"/>
              </w:rPr>
              <w:t>服务对象满意度指标</w:t>
            </w:r>
          </w:p>
        </w:tc>
        <w:tc>
          <w:tcPr>
            <w:tcW w:w="1872"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群众满意度</w:t>
            </w:r>
          </w:p>
        </w:tc>
        <w:tc>
          <w:tcPr>
            <w:tcW w:w="249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满意度的调查对象为项目实施惠及的群众，调查方式为不记名调查问卷。群众满意度=调查对象中感到满意的数量/调查对象的数量*100%</w:t>
            </w:r>
          </w:p>
        </w:tc>
        <w:tc>
          <w:tcPr>
            <w:tcW w:w="1467"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≥95%</w:t>
            </w:r>
          </w:p>
        </w:tc>
        <w:tc>
          <w:tcPr>
            <w:tcW w:w="146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both"/>
              <w:rPr>
                <w:rFonts w:hint="eastAsia"/>
                <w:color w:val="auto"/>
                <w:sz w:val="22"/>
                <w:szCs w:val="22"/>
              </w:rPr>
            </w:pPr>
            <w:r>
              <w:rPr>
                <w:rFonts w:hint="eastAsia"/>
                <w:color w:val="auto"/>
                <w:sz w:val="22"/>
                <w:szCs w:val="22"/>
              </w:rPr>
              <w:t>≥95%</w:t>
            </w:r>
          </w:p>
        </w:tc>
        <w:tc>
          <w:tcPr>
            <w:tcW w:w="36" w:type="dxa"/>
            <w:vAlign w:val="center"/>
          </w:tcPr>
          <w:p>
            <w:pPr>
              <w:rPr>
                <w:rFonts w:ascii="Times New Roman" w:hAnsi="Times New Roman" w:eastAsia="Times New Roman" w:cs="Times New Roman"/>
                <w:color w:val="auto"/>
                <w:sz w:val="20"/>
                <w:szCs w:val="20"/>
              </w:rPr>
            </w:pPr>
          </w:p>
        </w:tc>
      </w:tr>
      <w:tr>
        <w:tblPrEx>
          <w:tblCellMar>
            <w:top w:w="0" w:type="dxa"/>
            <w:left w:w="0" w:type="dxa"/>
            <w:bottom w:w="0" w:type="dxa"/>
            <w:right w:w="0" w:type="dxa"/>
          </w:tblCellMar>
        </w:tblPrEx>
        <w:trPr>
          <w:trHeight w:val="23" w:hRule="atLeast"/>
        </w:trPr>
        <w:tc>
          <w:tcPr>
            <w:tcW w:w="720" w:type="dxa"/>
            <w:tcBorders>
              <w:top w:val="nil"/>
              <w:left w:val="nil"/>
              <w:bottom w:val="nil"/>
              <w:right w:val="nil"/>
            </w:tcBorders>
            <w:noWrap/>
            <w:tcMar>
              <w:top w:w="15" w:type="dxa"/>
              <w:left w:w="15" w:type="dxa"/>
              <w:bottom w:w="0" w:type="dxa"/>
              <w:right w:w="15" w:type="dxa"/>
            </w:tcMar>
            <w:vAlign w:val="center"/>
          </w:tcPr>
          <w:p>
            <w:pPr>
              <w:jc w:val="both"/>
              <w:rPr>
                <w:rFonts w:hint="eastAsia"/>
                <w:color w:val="auto"/>
                <w:sz w:val="22"/>
                <w:szCs w:val="22"/>
              </w:rPr>
            </w:pPr>
          </w:p>
        </w:tc>
        <w:tc>
          <w:tcPr>
            <w:tcW w:w="337" w:type="dxa"/>
            <w:vAlign w:val="center"/>
          </w:tcPr>
          <w:p>
            <w:pPr>
              <w:rPr>
                <w:rFonts w:ascii="Times New Roman" w:hAnsi="Times New Roman" w:eastAsia="Times New Roman" w:cs="Times New Roman"/>
                <w:color w:val="auto"/>
                <w:sz w:val="20"/>
                <w:szCs w:val="20"/>
              </w:rPr>
            </w:pPr>
          </w:p>
        </w:tc>
        <w:tc>
          <w:tcPr>
            <w:tcW w:w="684" w:type="dxa"/>
            <w:vAlign w:val="center"/>
          </w:tcPr>
          <w:p>
            <w:pPr>
              <w:rPr>
                <w:rFonts w:ascii="Times New Roman" w:hAnsi="Times New Roman" w:eastAsia="Times New Roman" w:cs="Times New Roman"/>
                <w:color w:val="auto"/>
                <w:sz w:val="20"/>
                <w:szCs w:val="20"/>
              </w:rPr>
            </w:pPr>
          </w:p>
        </w:tc>
        <w:tc>
          <w:tcPr>
            <w:tcW w:w="6" w:type="dxa"/>
            <w:vAlign w:val="center"/>
          </w:tcPr>
          <w:p>
            <w:pPr>
              <w:rPr>
                <w:rFonts w:ascii="Times New Roman" w:hAnsi="Times New Roman" w:eastAsia="Times New Roman" w:cs="Times New Roman"/>
                <w:color w:val="auto"/>
                <w:sz w:val="20"/>
                <w:szCs w:val="20"/>
              </w:rPr>
            </w:pPr>
          </w:p>
        </w:tc>
        <w:tc>
          <w:tcPr>
            <w:tcW w:w="1020" w:type="dxa"/>
            <w:vAlign w:val="center"/>
          </w:tcPr>
          <w:p>
            <w:pPr>
              <w:rPr>
                <w:rFonts w:ascii="Times New Roman" w:hAnsi="Times New Roman" w:eastAsia="Times New Roman" w:cs="Times New Roman"/>
                <w:color w:val="auto"/>
                <w:sz w:val="20"/>
                <w:szCs w:val="20"/>
              </w:rPr>
            </w:pPr>
          </w:p>
        </w:tc>
        <w:tc>
          <w:tcPr>
            <w:tcW w:w="846" w:type="dxa"/>
            <w:vAlign w:val="center"/>
          </w:tcPr>
          <w:p>
            <w:pPr>
              <w:rPr>
                <w:rFonts w:ascii="Times New Roman" w:hAnsi="Times New Roman" w:eastAsia="Times New Roman" w:cs="Times New Roman"/>
                <w:color w:val="auto"/>
                <w:sz w:val="20"/>
                <w:szCs w:val="20"/>
              </w:rPr>
            </w:pPr>
          </w:p>
        </w:tc>
        <w:tc>
          <w:tcPr>
            <w:tcW w:w="2495" w:type="dxa"/>
            <w:vAlign w:val="center"/>
          </w:tcPr>
          <w:p>
            <w:pPr>
              <w:rPr>
                <w:rFonts w:ascii="Times New Roman" w:hAnsi="Times New Roman" w:eastAsia="Times New Roman" w:cs="Times New Roman"/>
                <w:color w:val="auto"/>
                <w:sz w:val="20"/>
                <w:szCs w:val="20"/>
              </w:rPr>
            </w:pPr>
          </w:p>
        </w:tc>
        <w:tc>
          <w:tcPr>
            <w:tcW w:w="1467" w:type="dxa"/>
            <w:vAlign w:val="center"/>
          </w:tcPr>
          <w:p>
            <w:pPr>
              <w:rPr>
                <w:rFonts w:ascii="Times New Roman" w:hAnsi="Times New Roman" w:eastAsia="Times New Roman" w:cs="Times New Roman"/>
                <w:color w:val="auto"/>
                <w:sz w:val="20"/>
                <w:szCs w:val="20"/>
              </w:rPr>
            </w:pPr>
          </w:p>
        </w:tc>
        <w:tc>
          <w:tcPr>
            <w:tcW w:w="1468" w:type="dxa"/>
            <w:vAlign w:val="center"/>
          </w:tcPr>
          <w:p>
            <w:pPr>
              <w:rPr>
                <w:rFonts w:ascii="Times New Roman" w:hAnsi="Times New Roman" w:eastAsia="Times New Roman" w:cs="Times New Roman"/>
                <w:color w:val="auto"/>
                <w:sz w:val="20"/>
                <w:szCs w:val="20"/>
              </w:rPr>
            </w:pPr>
          </w:p>
        </w:tc>
        <w:tc>
          <w:tcPr>
            <w:tcW w:w="36" w:type="dxa"/>
            <w:vAlign w:val="center"/>
          </w:tcPr>
          <w:p>
            <w:pPr>
              <w:rPr>
                <w:rFonts w:ascii="Times New Roman" w:hAnsi="Times New Roman" w:eastAsia="Times New Roman" w:cs="Times New Roman"/>
                <w:color w:val="auto"/>
                <w:sz w:val="20"/>
                <w:szCs w:val="20"/>
              </w:rPr>
            </w:pPr>
          </w:p>
        </w:tc>
      </w:tr>
    </w:tbl>
    <w:p/>
    <w:sectPr>
      <w:footerReference r:id="rId3" w:type="default"/>
      <w:pgSz w:w="11906" w:h="16838"/>
      <w:pgMar w:top="1440" w:right="1800" w:bottom="1440" w:left="1800" w:header="851" w:footer="992" w:gutter="0"/>
      <w:pgNumType w:fmt="numberInDash"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等线">
    <w:altName w:val="Arial Unicode MS"/>
    <w:panose1 w:val="02010600030101010101"/>
    <w:charset w:val="86"/>
    <w:family w:val="auto"/>
    <w:pitch w:val="default"/>
    <w:sig w:usb0="00000000" w:usb1="00000000" w:usb2="00000016" w:usb3="00000000" w:csb0="0004000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SnapToGridInCell/>
    <w:doNotWrapTextWithPunct/>
    <w:doNotUseEastAsianBreakRules/>
    <w:growAutofit/>
    <w:useFELayout/>
    <w:doNotUseIndentAsNumberingTabStop/>
    <w:compatSetting w:name="compatibilityMode" w:uri="http://schemas.microsoft.com/office/word" w:val="15"/>
    <w:compatSetting w:name="differentiateMultirowTableHeaders" w:uri="http://schemas.microsoft.com/office/word" w:val="1"/>
  </w:compat>
  <w:docVars>
    <w:docVar w:name="commondata" w:val="eyJoZGlkIjoiODNjNDhjNGUzMjk3MjRmNGJkYjQwNWJiOGQ0MTliNzAifQ=="/>
  </w:docVars>
  <w:rsids>
    <w:rsidRoot w:val="00D9746A"/>
    <w:rsid w:val="004466FA"/>
    <w:rsid w:val="00D9746A"/>
    <w:rsid w:val="01107768"/>
    <w:rsid w:val="12510AEE"/>
    <w:rsid w:val="136051B0"/>
    <w:rsid w:val="214B7790"/>
    <w:rsid w:val="2F9F71D7"/>
    <w:rsid w:val="350624B3"/>
    <w:rsid w:val="4CF84BCD"/>
    <w:rsid w:val="4E2055B4"/>
    <w:rsid w:val="4E825957"/>
    <w:rsid w:val="507F1ED5"/>
    <w:rsid w:val="55D45164"/>
    <w:rsid w:val="56A21BD8"/>
    <w:rsid w:val="5A376315"/>
    <w:rsid w:val="5F0E6369"/>
    <w:rsid w:val="64051F13"/>
    <w:rsid w:val="6FA97FA5"/>
    <w:rsid w:val="72580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宋体" w:hAnsi="宋体" w:eastAsia="宋体" w:cs="宋体"/>
      <w:sz w:val="24"/>
      <w:szCs w:val="24"/>
      <w:lang w:val="en-US" w:eastAsia="zh-CN" w:bidi="ar-SA"/>
    </w:rPr>
  </w:style>
  <w:style w:type="paragraph" w:styleId="2">
    <w:name w:val="heading 1"/>
    <w:basedOn w:val="1"/>
    <w:autoRedefine/>
    <w:qFormat/>
    <w:uiPriority w:val="9"/>
    <w:pPr>
      <w:pBdr>
        <w:bottom w:val="single" w:color="5B9BD5" w:sz="8" w:space="0"/>
      </w:pBdr>
      <w:spacing w:before="100" w:beforeAutospacing="1" w:after="100" w:afterAutospacing="1"/>
      <w:outlineLvl w:val="0"/>
    </w:pPr>
    <w:rPr>
      <w:b/>
      <w:bCs/>
      <w:color w:val="44546A"/>
      <w:sz w:val="30"/>
      <w:szCs w:val="30"/>
    </w:rPr>
  </w:style>
  <w:style w:type="paragraph" w:styleId="3">
    <w:name w:val="heading 2"/>
    <w:basedOn w:val="1"/>
    <w:autoRedefine/>
    <w:qFormat/>
    <w:uiPriority w:val="9"/>
    <w:pPr>
      <w:pBdr>
        <w:bottom w:val="single" w:color="5B9BD5" w:sz="8" w:space="0"/>
      </w:pBdr>
      <w:spacing w:before="100" w:beforeAutospacing="1" w:after="100" w:afterAutospacing="1"/>
      <w:outlineLvl w:val="1"/>
    </w:pPr>
    <w:rPr>
      <w:b/>
      <w:bCs/>
      <w:color w:val="44546A"/>
      <w:sz w:val="26"/>
      <w:szCs w:val="26"/>
    </w:rPr>
  </w:style>
  <w:style w:type="paragraph" w:styleId="4">
    <w:name w:val="heading 3"/>
    <w:basedOn w:val="1"/>
    <w:autoRedefine/>
    <w:qFormat/>
    <w:uiPriority w:val="9"/>
    <w:pPr>
      <w:pBdr>
        <w:bottom w:val="single" w:color="ACCCEA" w:sz="8" w:space="0"/>
      </w:pBdr>
      <w:spacing w:before="100" w:beforeAutospacing="1" w:after="100" w:afterAutospacing="1"/>
      <w:outlineLvl w:val="2"/>
    </w:pPr>
    <w:rPr>
      <w:b/>
      <w:bCs/>
      <w:color w:val="44546A"/>
      <w:sz w:val="22"/>
      <w:szCs w:val="22"/>
    </w:rPr>
  </w:style>
  <w:style w:type="paragraph" w:styleId="5">
    <w:name w:val="heading 4"/>
    <w:basedOn w:val="1"/>
    <w:autoRedefine/>
    <w:qFormat/>
    <w:uiPriority w:val="9"/>
    <w:pPr>
      <w:spacing w:before="100" w:beforeAutospacing="1" w:after="100" w:afterAutospacing="1"/>
      <w:outlineLvl w:val="3"/>
    </w:pPr>
    <w:rPr>
      <w:b/>
      <w:bCs/>
      <w:color w:val="44546A"/>
      <w:sz w:val="22"/>
      <w:szCs w:val="2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6">
    <w:name w:val="footer"/>
    <w:basedOn w:val="1"/>
    <w:autoRedefine/>
    <w:semiHidden/>
    <w:unhideWhenUsed/>
    <w:qFormat/>
    <w:uiPriority w:val="99"/>
    <w:pPr>
      <w:tabs>
        <w:tab w:val="center" w:pos="4153"/>
        <w:tab w:val="right" w:pos="8306"/>
      </w:tabs>
      <w:snapToGrid w:val="0"/>
      <w:jc w:val="left"/>
    </w:pPr>
    <w:rPr>
      <w:sz w:val="18"/>
    </w:rPr>
  </w:style>
  <w:style w:type="paragraph" w:styleId="7">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itle"/>
    <w:basedOn w:val="1"/>
    <w:autoRedefine/>
    <w:qFormat/>
    <w:uiPriority w:val="10"/>
    <w:pPr>
      <w:spacing w:before="100" w:beforeAutospacing="1" w:after="100" w:afterAutospacing="1"/>
    </w:pPr>
    <w:rPr>
      <w:b/>
      <w:bCs/>
      <w:color w:val="44546A"/>
      <w:sz w:val="36"/>
      <w:szCs w:val="36"/>
    </w:rPr>
  </w:style>
  <w:style w:type="character" w:styleId="11">
    <w:name w:val="FollowedHyperlink"/>
    <w:basedOn w:val="10"/>
    <w:autoRedefine/>
    <w:semiHidden/>
    <w:unhideWhenUsed/>
    <w:qFormat/>
    <w:uiPriority w:val="99"/>
    <w:rPr>
      <w:color w:val="800080"/>
      <w:u w:val="single"/>
    </w:rPr>
  </w:style>
  <w:style w:type="character" w:styleId="12">
    <w:name w:val="Hyperlink"/>
    <w:basedOn w:val="10"/>
    <w:autoRedefine/>
    <w:semiHidden/>
    <w:unhideWhenUsed/>
    <w:qFormat/>
    <w:uiPriority w:val="99"/>
    <w:rPr>
      <w:color w:val="0000FF"/>
      <w:u w:val="single"/>
    </w:rPr>
  </w:style>
  <w:style w:type="paragraph" w:customStyle="1" w:styleId="13">
    <w:name w:val="msonormal"/>
    <w:basedOn w:val="1"/>
    <w:autoRedefine/>
    <w:qFormat/>
    <w:uiPriority w:val="0"/>
    <w:pPr>
      <w:spacing w:before="100" w:beforeAutospacing="1" w:after="100" w:afterAutospacing="1"/>
    </w:pPr>
  </w:style>
  <w:style w:type="paragraph" w:customStyle="1" w:styleId="14">
    <w:name w:val="font0"/>
    <w:basedOn w:val="1"/>
    <w:autoRedefine/>
    <w:qFormat/>
    <w:uiPriority w:val="0"/>
    <w:pPr>
      <w:spacing w:before="100" w:beforeAutospacing="1" w:after="100" w:afterAutospacing="1"/>
    </w:pPr>
    <w:rPr>
      <w:color w:val="000000"/>
      <w:sz w:val="22"/>
      <w:szCs w:val="22"/>
    </w:rPr>
  </w:style>
  <w:style w:type="paragraph" w:customStyle="1" w:styleId="15">
    <w:name w:val="font1"/>
    <w:basedOn w:val="1"/>
    <w:autoRedefine/>
    <w:qFormat/>
    <w:uiPriority w:val="0"/>
    <w:pPr>
      <w:spacing w:before="100" w:beforeAutospacing="1" w:after="100" w:afterAutospacing="1"/>
    </w:pPr>
    <w:rPr>
      <w:sz w:val="44"/>
      <w:szCs w:val="44"/>
    </w:rPr>
  </w:style>
  <w:style w:type="paragraph" w:customStyle="1" w:styleId="16">
    <w:name w:val="font2"/>
    <w:basedOn w:val="1"/>
    <w:autoRedefine/>
    <w:qFormat/>
    <w:uiPriority w:val="0"/>
    <w:pPr>
      <w:spacing w:before="100" w:beforeAutospacing="1" w:after="100" w:afterAutospacing="1"/>
    </w:pPr>
    <w:rPr>
      <w:sz w:val="22"/>
      <w:szCs w:val="22"/>
    </w:rPr>
  </w:style>
  <w:style w:type="paragraph" w:customStyle="1" w:styleId="17">
    <w:name w:val="font3"/>
    <w:basedOn w:val="1"/>
    <w:autoRedefine/>
    <w:qFormat/>
    <w:uiPriority w:val="0"/>
    <w:pPr>
      <w:spacing w:before="100" w:beforeAutospacing="1" w:after="100" w:afterAutospacing="1"/>
    </w:pPr>
    <w:rPr>
      <w:sz w:val="22"/>
      <w:szCs w:val="22"/>
    </w:rPr>
  </w:style>
  <w:style w:type="paragraph" w:customStyle="1" w:styleId="18">
    <w:name w:val="font4"/>
    <w:basedOn w:val="1"/>
    <w:autoRedefine/>
    <w:qFormat/>
    <w:uiPriority w:val="0"/>
    <w:pPr>
      <w:spacing w:before="100" w:beforeAutospacing="1" w:after="100" w:afterAutospacing="1"/>
    </w:pPr>
    <w:rPr>
      <w:color w:val="000000"/>
      <w:sz w:val="22"/>
      <w:szCs w:val="22"/>
    </w:rPr>
  </w:style>
  <w:style w:type="paragraph" w:customStyle="1" w:styleId="19">
    <w:name w:val="font5"/>
    <w:basedOn w:val="1"/>
    <w:autoRedefine/>
    <w:qFormat/>
    <w:uiPriority w:val="0"/>
    <w:pPr>
      <w:spacing w:before="100" w:beforeAutospacing="1" w:after="100" w:afterAutospacing="1"/>
    </w:pPr>
    <w:rPr>
      <w:color w:val="0000FF"/>
      <w:sz w:val="22"/>
      <w:szCs w:val="22"/>
      <w:u w:val="single"/>
    </w:rPr>
  </w:style>
  <w:style w:type="paragraph" w:customStyle="1" w:styleId="20">
    <w:name w:val="font6"/>
    <w:basedOn w:val="1"/>
    <w:autoRedefine/>
    <w:qFormat/>
    <w:uiPriority w:val="0"/>
    <w:pPr>
      <w:spacing w:before="100" w:beforeAutospacing="1" w:after="100" w:afterAutospacing="1"/>
    </w:pPr>
    <w:rPr>
      <w:color w:val="800080"/>
      <w:sz w:val="22"/>
      <w:szCs w:val="22"/>
      <w:u w:val="single"/>
    </w:rPr>
  </w:style>
  <w:style w:type="paragraph" w:customStyle="1" w:styleId="21">
    <w:name w:val="font7"/>
    <w:basedOn w:val="1"/>
    <w:autoRedefine/>
    <w:qFormat/>
    <w:uiPriority w:val="0"/>
    <w:pPr>
      <w:spacing w:before="100" w:beforeAutospacing="1" w:after="100" w:afterAutospacing="1"/>
    </w:pPr>
    <w:rPr>
      <w:color w:val="FF0000"/>
      <w:sz w:val="22"/>
      <w:szCs w:val="22"/>
    </w:rPr>
  </w:style>
  <w:style w:type="paragraph" w:customStyle="1" w:styleId="22">
    <w:name w:val="font8"/>
    <w:basedOn w:val="1"/>
    <w:autoRedefine/>
    <w:qFormat/>
    <w:uiPriority w:val="0"/>
    <w:pPr>
      <w:spacing w:before="100" w:beforeAutospacing="1" w:after="100" w:afterAutospacing="1"/>
    </w:pPr>
    <w:rPr>
      <w:b/>
      <w:bCs/>
      <w:color w:val="44546A"/>
      <w:sz w:val="36"/>
      <w:szCs w:val="36"/>
    </w:rPr>
  </w:style>
  <w:style w:type="paragraph" w:customStyle="1" w:styleId="23">
    <w:name w:val="font9"/>
    <w:basedOn w:val="1"/>
    <w:autoRedefine/>
    <w:qFormat/>
    <w:uiPriority w:val="0"/>
    <w:pPr>
      <w:spacing w:before="100" w:beforeAutospacing="1" w:after="100" w:afterAutospacing="1"/>
    </w:pPr>
    <w:rPr>
      <w:i/>
      <w:iCs/>
      <w:color w:val="7F7F7F"/>
      <w:sz w:val="22"/>
      <w:szCs w:val="22"/>
    </w:rPr>
  </w:style>
  <w:style w:type="paragraph" w:customStyle="1" w:styleId="24">
    <w:name w:val="font10"/>
    <w:basedOn w:val="1"/>
    <w:autoRedefine/>
    <w:qFormat/>
    <w:uiPriority w:val="0"/>
    <w:pPr>
      <w:spacing w:before="100" w:beforeAutospacing="1" w:after="100" w:afterAutospacing="1"/>
    </w:pPr>
    <w:rPr>
      <w:b/>
      <w:bCs/>
      <w:color w:val="44546A"/>
      <w:sz w:val="30"/>
      <w:szCs w:val="30"/>
    </w:rPr>
  </w:style>
  <w:style w:type="paragraph" w:customStyle="1" w:styleId="25">
    <w:name w:val="font11"/>
    <w:basedOn w:val="1"/>
    <w:autoRedefine/>
    <w:qFormat/>
    <w:uiPriority w:val="0"/>
    <w:pPr>
      <w:spacing w:before="100" w:beforeAutospacing="1" w:after="100" w:afterAutospacing="1"/>
    </w:pPr>
    <w:rPr>
      <w:b/>
      <w:bCs/>
      <w:color w:val="44546A"/>
      <w:sz w:val="26"/>
      <w:szCs w:val="26"/>
    </w:rPr>
  </w:style>
  <w:style w:type="paragraph" w:customStyle="1" w:styleId="26">
    <w:name w:val="font12"/>
    <w:basedOn w:val="1"/>
    <w:autoRedefine/>
    <w:qFormat/>
    <w:uiPriority w:val="0"/>
    <w:pPr>
      <w:spacing w:before="100" w:beforeAutospacing="1" w:after="100" w:afterAutospacing="1"/>
    </w:pPr>
    <w:rPr>
      <w:b/>
      <w:bCs/>
      <w:color w:val="44546A"/>
      <w:sz w:val="22"/>
      <w:szCs w:val="22"/>
    </w:rPr>
  </w:style>
  <w:style w:type="paragraph" w:customStyle="1" w:styleId="27">
    <w:name w:val="font13"/>
    <w:basedOn w:val="1"/>
    <w:autoRedefine/>
    <w:qFormat/>
    <w:uiPriority w:val="0"/>
    <w:pPr>
      <w:spacing w:before="100" w:beforeAutospacing="1" w:after="100" w:afterAutospacing="1"/>
    </w:pPr>
    <w:rPr>
      <w:color w:val="3F3F76"/>
      <w:sz w:val="22"/>
      <w:szCs w:val="22"/>
    </w:rPr>
  </w:style>
  <w:style w:type="paragraph" w:customStyle="1" w:styleId="28">
    <w:name w:val="font14"/>
    <w:basedOn w:val="1"/>
    <w:autoRedefine/>
    <w:qFormat/>
    <w:uiPriority w:val="0"/>
    <w:pPr>
      <w:spacing w:before="100" w:beforeAutospacing="1" w:after="100" w:afterAutospacing="1"/>
    </w:pPr>
    <w:rPr>
      <w:b/>
      <w:bCs/>
      <w:color w:val="3F3F3F"/>
      <w:sz w:val="22"/>
      <w:szCs w:val="22"/>
    </w:rPr>
  </w:style>
  <w:style w:type="paragraph" w:customStyle="1" w:styleId="29">
    <w:name w:val="font15"/>
    <w:basedOn w:val="1"/>
    <w:autoRedefine/>
    <w:qFormat/>
    <w:uiPriority w:val="0"/>
    <w:pPr>
      <w:spacing w:before="100" w:beforeAutospacing="1" w:after="100" w:afterAutospacing="1"/>
    </w:pPr>
    <w:rPr>
      <w:b/>
      <w:bCs/>
      <w:color w:val="FA7D00"/>
      <w:sz w:val="22"/>
      <w:szCs w:val="22"/>
    </w:rPr>
  </w:style>
  <w:style w:type="paragraph" w:customStyle="1" w:styleId="30">
    <w:name w:val="font16"/>
    <w:basedOn w:val="1"/>
    <w:autoRedefine/>
    <w:qFormat/>
    <w:uiPriority w:val="0"/>
    <w:pPr>
      <w:spacing w:before="100" w:beforeAutospacing="1" w:after="100" w:afterAutospacing="1"/>
    </w:pPr>
    <w:rPr>
      <w:b/>
      <w:bCs/>
      <w:color w:val="FFFFFF"/>
      <w:sz w:val="22"/>
      <w:szCs w:val="22"/>
    </w:rPr>
  </w:style>
  <w:style w:type="paragraph" w:customStyle="1" w:styleId="31">
    <w:name w:val="font17"/>
    <w:basedOn w:val="1"/>
    <w:autoRedefine/>
    <w:qFormat/>
    <w:uiPriority w:val="0"/>
    <w:pPr>
      <w:spacing w:before="100" w:beforeAutospacing="1" w:after="100" w:afterAutospacing="1"/>
    </w:pPr>
    <w:rPr>
      <w:color w:val="FA7D00"/>
      <w:sz w:val="22"/>
      <w:szCs w:val="22"/>
    </w:rPr>
  </w:style>
  <w:style w:type="paragraph" w:customStyle="1" w:styleId="32">
    <w:name w:val="font18"/>
    <w:basedOn w:val="1"/>
    <w:autoRedefine/>
    <w:qFormat/>
    <w:uiPriority w:val="0"/>
    <w:pPr>
      <w:spacing w:before="100" w:beforeAutospacing="1" w:after="100" w:afterAutospacing="1"/>
    </w:pPr>
    <w:rPr>
      <w:b/>
      <w:bCs/>
      <w:color w:val="000000"/>
      <w:sz w:val="22"/>
      <w:szCs w:val="22"/>
    </w:rPr>
  </w:style>
  <w:style w:type="paragraph" w:customStyle="1" w:styleId="33">
    <w:name w:val="font19"/>
    <w:basedOn w:val="1"/>
    <w:autoRedefine/>
    <w:qFormat/>
    <w:uiPriority w:val="0"/>
    <w:pPr>
      <w:spacing w:before="100" w:beforeAutospacing="1" w:after="100" w:afterAutospacing="1"/>
    </w:pPr>
    <w:rPr>
      <w:color w:val="006100"/>
      <w:sz w:val="22"/>
      <w:szCs w:val="22"/>
    </w:rPr>
  </w:style>
  <w:style w:type="paragraph" w:customStyle="1" w:styleId="34">
    <w:name w:val="font20"/>
    <w:basedOn w:val="1"/>
    <w:autoRedefine/>
    <w:qFormat/>
    <w:uiPriority w:val="0"/>
    <w:pPr>
      <w:spacing w:before="100" w:beforeAutospacing="1" w:after="100" w:afterAutospacing="1"/>
    </w:pPr>
    <w:rPr>
      <w:color w:val="9C0006"/>
      <w:sz w:val="22"/>
      <w:szCs w:val="22"/>
    </w:rPr>
  </w:style>
  <w:style w:type="paragraph" w:customStyle="1" w:styleId="35">
    <w:name w:val="font21"/>
    <w:basedOn w:val="1"/>
    <w:autoRedefine/>
    <w:qFormat/>
    <w:uiPriority w:val="0"/>
    <w:pPr>
      <w:spacing w:before="100" w:beforeAutospacing="1" w:after="100" w:afterAutospacing="1"/>
    </w:pPr>
    <w:rPr>
      <w:color w:val="9C6500"/>
      <w:sz w:val="22"/>
      <w:szCs w:val="22"/>
    </w:rPr>
  </w:style>
  <w:style w:type="paragraph" w:customStyle="1" w:styleId="36">
    <w:name w:val="font22"/>
    <w:basedOn w:val="1"/>
    <w:autoRedefine/>
    <w:qFormat/>
    <w:uiPriority w:val="0"/>
    <w:pPr>
      <w:spacing w:before="100" w:beforeAutospacing="1" w:after="100" w:afterAutospacing="1"/>
    </w:pPr>
    <w:rPr>
      <w:color w:val="FFFFFF"/>
      <w:sz w:val="22"/>
      <w:szCs w:val="22"/>
    </w:rPr>
  </w:style>
  <w:style w:type="paragraph" w:customStyle="1" w:styleId="37">
    <w:name w:val="font23"/>
    <w:basedOn w:val="1"/>
    <w:autoRedefine/>
    <w:qFormat/>
    <w:uiPriority w:val="0"/>
    <w:pPr>
      <w:spacing w:before="100" w:beforeAutospacing="1" w:after="100" w:afterAutospacing="1"/>
    </w:pPr>
    <w:rPr>
      <w:color w:val="000000"/>
      <w:sz w:val="22"/>
      <w:szCs w:val="22"/>
    </w:rPr>
  </w:style>
  <w:style w:type="paragraph" w:customStyle="1" w:styleId="38">
    <w:name w:val="font24"/>
    <w:basedOn w:val="1"/>
    <w:autoRedefine/>
    <w:qFormat/>
    <w:uiPriority w:val="0"/>
    <w:pPr>
      <w:spacing w:before="100" w:beforeAutospacing="1" w:after="100" w:afterAutospacing="1"/>
    </w:pPr>
    <w:rPr>
      <w:rFonts w:ascii="Times New Roman" w:hAnsi="Times New Roman" w:cs="Times New Roman"/>
      <w:sz w:val="22"/>
      <w:szCs w:val="22"/>
    </w:rPr>
  </w:style>
  <w:style w:type="paragraph" w:customStyle="1" w:styleId="39">
    <w:name w:val="常规"/>
    <w:basedOn w:val="1"/>
    <w:autoRedefine/>
    <w:qFormat/>
    <w:uiPriority w:val="0"/>
    <w:pPr>
      <w:spacing w:before="100" w:beforeAutospacing="1" w:after="100" w:afterAutospacing="1"/>
      <w:textAlignment w:val="center"/>
    </w:pPr>
    <w:rPr>
      <w:color w:val="000000"/>
      <w:sz w:val="22"/>
      <w:szCs w:val="22"/>
    </w:rPr>
  </w:style>
  <w:style w:type="paragraph" w:customStyle="1" w:styleId="40">
    <w:name w:val="千位分隔"/>
    <w:basedOn w:val="1"/>
    <w:autoRedefine/>
    <w:qFormat/>
    <w:uiPriority w:val="0"/>
    <w:pPr>
      <w:spacing w:before="100" w:beforeAutospacing="1" w:after="100" w:afterAutospacing="1"/>
    </w:pPr>
  </w:style>
  <w:style w:type="paragraph" w:customStyle="1" w:styleId="41">
    <w:name w:val="货币"/>
    <w:basedOn w:val="1"/>
    <w:autoRedefine/>
    <w:qFormat/>
    <w:uiPriority w:val="0"/>
    <w:pPr>
      <w:spacing w:before="100" w:beforeAutospacing="1" w:after="100" w:afterAutospacing="1"/>
    </w:pPr>
  </w:style>
  <w:style w:type="paragraph" w:customStyle="1" w:styleId="42">
    <w:name w:val="百分比"/>
    <w:basedOn w:val="1"/>
    <w:autoRedefine/>
    <w:qFormat/>
    <w:uiPriority w:val="0"/>
    <w:pPr>
      <w:spacing w:before="100" w:beforeAutospacing="1" w:after="100" w:afterAutospacing="1"/>
    </w:pPr>
  </w:style>
  <w:style w:type="paragraph" w:customStyle="1" w:styleId="43">
    <w:name w:val="千位分隔[0]"/>
    <w:basedOn w:val="1"/>
    <w:autoRedefine/>
    <w:qFormat/>
    <w:uiPriority w:val="0"/>
    <w:pPr>
      <w:spacing w:before="100" w:beforeAutospacing="1" w:after="100" w:afterAutospacing="1"/>
    </w:pPr>
  </w:style>
  <w:style w:type="paragraph" w:customStyle="1" w:styleId="44">
    <w:name w:val="货币[0]"/>
    <w:basedOn w:val="1"/>
    <w:autoRedefine/>
    <w:qFormat/>
    <w:uiPriority w:val="0"/>
    <w:pPr>
      <w:spacing w:before="100" w:beforeAutospacing="1" w:after="100" w:afterAutospacing="1"/>
    </w:pPr>
  </w:style>
  <w:style w:type="paragraph" w:customStyle="1" w:styleId="45">
    <w:name w:val="超链接1"/>
    <w:basedOn w:val="1"/>
    <w:autoRedefine/>
    <w:qFormat/>
    <w:uiPriority w:val="0"/>
    <w:pPr>
      <w:spacing w:before="100" w:beforeAutospacing="1" w:after="100" w:afterAutospacing="1"/>
    </w:pPr>
    <w:rPr>
      <w:color w:val="0000FF"/>
      <w:sz w:val="22"/>
      <w:szCs w:val="22"/>
      <w:u w:val="single"/>
    </w:rPr>
  </w:style>
  <w:style w:type="paragraph" w:customStyle="1" w:styleId="46">
    <w:name w:val="已访问的超链接11"/>
    <w:basedOn w:val="1"/>
    <w:autoRedefine/>
    <w:qFormat/>
    <w:uiPriority w:val="0"/>
    <w:pPr>
      <w:spacing w:before="100" w:beforeAutospacing="1" w:after="100" w:afterAutospacing="1"/>
    </w:pPr>
    <w:rPr>
      <w:color w:val="800080"/>
      <w:sz w:val="22"/>
      <w:szCs w:val="22"/>
      <w:u w:val="single"/>
    </w:rPr>
  </w:style>
  <w:style w:type="paragraph" w:customStyle="1" w:styleId="47">
    <w:name w:val="注释"/>
    <w:basedOn w:val="1"/>
    <w:autoRedefine/>
    <w:qFormat/>
    <w:uiPriority w:val="0"/>
    <w:pPr>
      <w:pBdr>
        <w:top w:val="single" w:color="B2B2B2" w:sz="4" w:space="0"/>
        <w:left w:val="single" w:color="B2B2B2" w:sz="4" w:space="0"/>
        <w:bottom w:val="single" w:color="B2B2B2" w:sz="4" w:space="0"/>
        <w:right w:val="single" w:color="B2B2B2" w:sz="4" w:space="0"/>
      </w:pBdr>
      <w:shd w:val="clear" w:color="auto" w:fill="FFFFCC"/>
      <w:spacing w:before="100" w:beforeAutospacing="1" w:after="100" w:afterAutospacing="1"/>
    </w:pPr>
  </w:style>
  <w:style w:type="paragraph" w:customStyle="1" w:styleId="48">
    <w:name w:val="警告文本"/>
    <w:basedOn w:val="1"/>
    <w:autoRedefine/>
    <w:qFormat/>
    <w:uiPriority w:val="0"/>
    <w:pPr>
      <w:spacing w:before="100" w:beforeAutospacing="1" w:after="100" w:afterAutospacing="1"/>
    </w:pPr>
    <w:rPr>
      <w:color w:val="FF0000"/>
      <w:sz w:val="22"/>
      <w:szCs w:val="22"/>
    </w:rPr>
  </w:style>
  <w:style w:type="character" w:customStyle="1" w:styleId="49">
    <w:name w:val="标题 字符"/>
    <w:basedOn w:val="10"/>
    <w:qFormat/>
    <w:uiPriority w:val="10"/>
    <w:rPr>
      <w:rFonts w:asciiTheme="majorHAnsi" w:hAnsiTheme="majorHAnsi" w:eastAsiaTheme="majorEastAsia" w:cstheme="majorBidi"/>
      <w:spacing w:val="-10"/>
      <w:kern w:val="28"/>
      <w:sz w:val="56"/>
      <w:szCs w:val="56"/>
    </w:rPr>
  </w:style>
  <w:style w:type="paragraph" w:customStyle="1" w:styleId="50">
    <w:name w:val="解释性文本"/>
    <w:basedOn w:val="1"/>
    <w:autoRedefine/>
    <w:uiPriority w:val="0"/>
    <w:pPr>
      <w:spacing w:before="100" w:beforeAutospacing="1" w:after="100" w:afterAutospacing="1"/>
    </w:pPr>
    <w:rPr>
      <w:i/>
      <w:iCs/>
      <w:color w:val="7F7F7F"/>
      <w:sz w:val="22"/>
      <w:szCs w:val="22"/>
    </w:rPr>
  </w:style>
  <w:style w:type="character" w:customStyle="1" w:styleId="51">
    <w:name w:val="标题 1 字符"/>
    <w:basedOn w:val="10"/>
    <w:autoRedefine/>
    <w:qFormat/>
    <w:uiPriority w:val="9"/>
    <w:rPr>
      <w:rFonts w:asciiTheme="majorHAnsi" w:hAnsiTheme="majorHAnsi" w:eastAsiaTheme="majorEastAsia" w:cstheme="majorBidi"/>
      <w:color w:val="104862" w:themeColor="accent1" w:themeShade="BF"/>
      <w:sz w:val="48"/>
      <w:szCs w:val="48"/>
    </w:rPr>
  </w:style>
  <w:style w:type="character" w:customStyle="1" w:styleId="52">
    <w:name w:val="标题 2 字符"/>
    <w:basedOn w:val="10"/>
    <w:autoRedefine/>
    <w:semiHidden/>
    <w:uiPriority w:val="9"/>
    <w:rPr>
      <w:rFonts w:asciiTheme="majorHAnsi" w:hAnsiTheme="majorHAnsi" w:eastAsiaTheme="majorEastAsia" w:cstheme="majorBidi"/>
      <w:color w:val="104862" w:themeColor="accent1" w:themeShade="BF"/>
      <w:sz w:val="40"/>
      <w:szCs w:val="40"/>
    </w:rPr>
  </w:style>
  <w:style w:type="character" w:customStyle="1" w:styleId="53">
    <w:name w:val="标题 3 字符"/>
    <w:basedOn w:val="10"/>
    <w:autoRedefine/>
    <w:semiHidden/>
    <w:qFormat/>
    <w:uiPriority w:val="9"/>
    <w:rPr>
      <w:rFonts w:asciiTheme="majorHAnsi" w:hAnsiTheme="majorHAnsi" w:eastAsiaTheme="majorEastAsia" w:cstheme="majorBidi"/>
      <w:color w:val="104862" w:themeColor="accent1" w:themeShade="BF"/>
      <w:sz w:val="32"/>
      <w:szCs w:val="32"/>
    </w:rPr>
  </w:style>
  <w:style w:type="character" w:customStyle="1" w:styleId="54">
    <w:name w:val="标题 4 字符"/>
    <w:basedOn w:val="10"/>
    <w:autoRedefine/>
    <w:semiHidden/>
    <w:qFormat/>
    <w:uiPriority w:val="9"/>
    <w:rPr>
      <w:rFonts w:asciiTheme="minorHAnsi" w:hAnsiTheme="minorHAnsi" w:eastAsiaTheme="minorEastAsia" w:cstheme="majorBidi"/>
      <w:color w:val="104862" w:themeColor="accent1" w:themeShade="BF"/>
      <w:sz w:val="28"/>
      <w:szCs w:val="28"/>
    </w:rPr>
  </w:style>
  <w:style w:type="paragraph" w:customStyle="1" w:styleId="55">
    <w:name w:val="输入"/>
    <w:basedOn w:val="1"/>
    <w:autoRedefine/>
    <w:qFormat/>
    <w:uiPriority w:val="0"/>
    <w:pPr>
      <w:pBdr>
        <w:top w:val="single" w:color="7F7F7F" w:sz="4" w:space="0"/>
        <w:left w:val="single" w:color="7F7F7F" w:sz="4" w:space="0"/>
        <w:bottom w:val="single" w:color="7F7F7F" w:sz="4" w:space="0"/>
        <w:right w:val="single" w:color="7F7F7F" w:sz="4" w:space="0"/>
      </w:pBdr>
      <w:shd w:val="clear" w:color="auto" w:fill="FFCC99"/>
      <w:spacing w:before="100" w:beforeAutospacing="1" w:after="100" w:afterAutospacing="1"/>
    </w:pPr>
    <w:rPr>
      <w:color w:val="3F3F76"/>
      <w:sz w:val="22"/>
      <w:szCs w:val="22"/>
    </w:rPr>
  </w:style>
  <w:style w:type="paragraph" w:customStyle="1" w:styleId="56">
    <w:name w:val="输出"/>
    <w:basedOn w:val="1"/>
    <w:autoRedefine/>
    <w:qFormat/>
    <w:uiPriority w:val="0"/>
    <w:pPr>
      <w:pBdr>
        <w:top w:val="single" w:color="3F3F3F" w:sz="4" w:space="0"/>
        <w:left w:val="single" w:color="3F3F3F" w:sz="4" w:space="0"/>
        <w:bottom w:val="single" w:color="3F3F3F" w:sz="4" w:space="0"/>
        <w:right w:val="single" w:color="3F3F3F" w:sz="4" w:space="0"/>
      </w:pBdr>
      <w:shd w:val="clear" w:color="auto" w:fill="F2F2F2"/>
      <w:spacing w:before="100" w:beforeAutospacing="1" w:after="100" w:afterAutospacing="1"/>
    </w:pPr>
    <w:rPr>
      <w:b/>
      <w:bCs/>
      <w:color w:val="3F3F3F"/>
      <w:sz w:val="22"/>
      <w:szCs w:val="22"/>
    </w:rPr>
  </w:style>
  <w:style w:type="paragraph" w:customStyle="1" w:styleId="57">
    <w:name w:val="计算"/>
    <w:basedOn w:val="1"/>
    <w:qFormat/>
    <w:uiPriority w:val="0"/>
    <w:pPr>
      <w:pBdr>
        <w:top w:val="single" w:color="7F7F7F" w:sz="4" w:space="0"/>
        <w:left w:val="single" w:color="7F7F7F" w:sz="4" w:space="0"/>
        <w:bottom w:val="single" w:color="7F7F7F" w:sz="4" w:space="0"/>
        <w:right w:val="single" w:color="7F7F7F" w:sz="4" w:space="0"/>
      </w:pBdr>
      <w:shd w:val="clear" w:color="auto" w:fill="F2F2F2"/>
      <w:spacing w:before="100" w:beforeAutospacing="1" w:after="100" w:afterAutospacing="1"/>
    </w:pPr>
    <w:rPr>
      <w:b/>
      <w:bCs/>
      <w:color w:val="FA7D00"/>
      <w:sz w:val="22"/>
      <w:szCs w:val="22"/>
    </w:rPr>
  </w:style>
  <w:style w:type="paragraph" w:customStyle="1" w:styleId="58">
    <w:name w:val="检查单元格"/>
    <w:basedOn w:val="1"/>
    <w:autoRedefine/>
    <w:qFormat/>
    <w:uiPriority w:val="0"/>
    <w:pPr>
      <w:pBdr>
        <w:top w:val="double" w:color="3F3F3F" w:sz="6" w:space="0"/>
        <w:left w:val="double" w:color="3F3F3F" w:sz="6" w:space="0"/>
        <w:bottom w:val="double" w:color="3F3F3F" w:sz="6" w:space="0"/>
        <w:right w:val="double" w:color="3F3F3F" w:sz="6" w:space="0"/>
      </w:pBdr>
      <w:shd w:val="clear" w:color="auto" w:fill="A5A5A5"/>
      <w:spacing w:before="100" w:beforeAutospacing="1" w:after="100" w:afterAutospacing="1"/>
    </w:pPr>
    <w:rPr>
      <w:b/>
      <w:bCs/>
      <w:color w:val="FFFFFF"/>
      <w:sz w:val="22"/>
      <w:szCs w:val="22"/>
    </w:rPr>
  </w:style>
  <w:style w:type="paragraph" w:customStyle="1" w:styleId="59">
    <w:name w:val="链接单元格"/>
    <w:basedOn w:val="1"/>
    <w:qFormat/>
    <w:uiPriority w:val="0"/>
    <w:pPr>
      <w:pBdr>
        <w:bottom w:val="double" w:color="FF8001" w:sz="6" w:space="0"/>
      </w:pBdr>
      <w:spacing w:before="100" w:beforeAutospacing="1" w:after="100" w:afterAutospacing="1"/>
    </w:pPr>
    <w:rPr>
      <w:color w:val="FA7D00"/>
      <w:sz w:val="22"/>
      <w:szCs w:val="22"/>
    </w:rPr>
  </w:style>
  <w:style w:type="paragraph" w:customStyle="1" w:styleId="60">
    <w:name w:val="汇总"/>
    <w:basedOn w:val="1"/>
    <w:qFormat/>
    <w:uiPriority w:val="0"/>
    <w:pPr>
      <w:pBdr>
        <w:top w:val="single" w:color="5B9BD5" w:sz="4" w:space="0"/>
        <w:bottom w:val="double" w:color="5B9BD5" w:sz="6" w:space="0"/>
      </w:pBdr>
      <w:spacing w:before="100" w:beforeAutospacing="1" w:after="100" w:afterAutospacing="1"/>
    </w:pPr>
    <w:rPr>
      <w:b/>
      <w:bCs/>
      <w:color w:val="000000"/>
      <w:sz w:val="22"/>
      <w:szCs w:val="22"/>
    </w:rPr>
  </w:style>
  <w:style w:type="paragraph" w:customStyle="1" w:styleId="61">
    <w:name w:val="好"/>
    <w:basedOn w:val="1"/>
    <w:autoRedefine/>
    <w:qFormat/>
    <w:uiPriority w:val="0"/>
    <w:pPr>
      <w:shd w:val="clear" w:color="auto" w:fill="C6EFCE"/>
      <w:spacing w:before="100" w:beforeAutospacing="1" w:after="100" w:afterAutospacing="1"/>
    </w:pPr>
    <w:rPr>
      <w:color w:val="006100"/>
      <w:sz w:val="22"/>
      <w:szCs w:val="22"/>
    </w:rPr>
  </w:style>
  <w:style w:type="paragraph" w:customStyle="1" w:styleId="62">
    <w:name w:val="差"/>
    <w:basedOn w:val="1"/>
    <w:autoRedefine/>
    <w:qFormat/>
    <w:uiPriority w:val="0"/>
    <w:pPr>
      <w:shd w:val="clear" w:color="auto" w:fill="FFC7CE"/>
      <w:spacing w:before="100" w:beforeAutospacing="1" w:after="100" w:afterAutospacing="1"/>
    </w:pPr>
    <w:rPr>
      <w:color w:val="9C0006"/>
      <w:sz w:val="22"/>
      <w:szCs w:val="22"/>
    </w:rPr>
  </w:style>
  <w:style w:type="paragraph" w:customStyle="1" w:styleId="63">
    <w:name w:val="适中"/>
    <w:basedOn w:val="1"/>
    <w:uiPriority w:val="0"/>
    <w:pPr>
      <w:shd w:val="clear" w:color="auto" w:fill="FFEB9C"/>
      <w:spacing w:before="100" w:beforeAutospacing="1" w:after="100" w:afterAutospacing="1"/>
    </w:pPr>
    <w:rPr>
      <w:color w:val="9C6500"/>
      <w:sz w:val="22"/>
      <w:szCs w:val="22"/>
    </w:rPr>
  </w:style>
  <w:style w:type="paragraph" w:customStyle="1" w:styleId="64">
    <w:name w:val="强调文字颜色 1"/>
    <w:basedOn w:val="1"/>
    <w:autoRedefine/>
    <w:qFormat/>
    <w:uiPriority w:val="0"/>
    <w:pPr>
      <w:shd w:val="clear" w:color="auto" w:fill="5B9BD5"/>
      <w:spacing w:before="100" w:beforeAutospacing="1" w:after="100" w:afterAutospacing="1"/>
    </w:pPr>
    <w:rPr>
      <w:color w:val="FFFFFF"/>
      <w:sz w:val="22"/>
      <w:szCs w:val="22"/>
    </w:rPr>
  </w:style>
  <w:style w:type="paragraph" w:customStyle="1" w:styleId="65">
    <w:name w:val="20% - 强调文字颜色 1"/>
    <w:basedOn w:val="1"/>
    <w:autoRedefine/>
    <w:uiPriority w:val="0"/>
    <w:pPr>
      <w:shd w:val="clear" w:color="auto" w:fill="DDEBF7"/>
      <w:spacing w:before="100" w:beforeAutospacing="1" w:after="100" w:afterAutospacing="1"/>
    </w:pPr>
    <w:rPr>
      <w:color w:val="000000"/>
      <w:sz w:val="22"/>
      <w:szCs w:val="22"/>
    </w:rPr>
  </w:style>
  <w:style w:type="paragraph" w:customStyle="1" w:styleId="66">
    <w:name w:val="40% - 强调文字颜色 1"/>
    <w:basedOn w:val="1"/>
    <w:qFormat/>
    <w:uiPriority w:val="0"/>
    <w:pPr>
      <w:shd w:val="clear" w:color="auto" w:fill="BDD7EE"/>
      <w:spacing w:before="100" w:beforeAutospacing="1" w:after="100" w:afterAutospacing="1"/>
    </w:pPr>
    <w:rPr>
      <w:color w:val="000000"/>
      <w:sz w:val="22"/>
      <w:szCs w:val="22"/>
    </w:rPr>
  </w:style>
  <w:style w:type="paragraph" w:customStyle="1" w:styleId="67">
    <w:name w:val="60% - 强调文字颜色 1"/>
    <w:basedOn w:val="1"/>
    <w:qFormat/>
    <w:uiPriority w:val="0"/>
    <w:pPr>
      <w:shd w:val="clear" w:color="auto" w:fill="9BC2E6"/>
      <w:spacing w:before="100" w:beforeAutospacing="1" w:after="100" w:afterAutospacing="1"/>
    </w:pPr>
    <w:rPr>
      <w:color w:val="FFFFFF"/>
      <w:sz w:val="22"/>
      <w:szCs w:val="22"/>
    </w:rPr>
  </w:style>
  <w:style w:type="paragraph" w:customStyle="1" w:styleId="68">
    <w:name w:val="强调文字颜色 2"/>
    <w:basedOn w:val="1"/>
    <w:autoRedefine/>
    <w:qFormat/>
    <w:uiPriority w:val="0"/>
    <w:pPr>
      <w:shd w:val="clear" w:color="auto" w:fill="ED7D31"/>
      <w:spacing w:before="100" w:beforeAutospacing="1" w:after="100" w:afterAutospacing="1"/>
    </w:pPr>
    <w:rPr>
      <w:color w:val="FFFFFF"/>
      <w:sz w:val="22"/>
      <w:szCs w:val="22"/>
    </w:rPr>
  </w:style>
  <w:style w:type="paragraph" w:customStyle="1" w:styleId="69">
    <w:name w:val="20% - 强调文字颜色 2"/>
    <w:basedOn w:val="1"/>
    <w:autoRedefine/>
    <w:uiPriority w:val="0"/>
    <w:pPr>
      <w:shd w:val="clear" w:color="auto" w:fill="FCE4D6"/>
      <w:spacing w:before="100" w:beforeAutospacing="1" w:after="100" w:afterAutospacing="1"/>
    </w:pPr>
    <w:rPr>
      <w:color w:val="000000"/>
      <w:sz w:val="22"/>
      <w:szCs w:val="22"/>
    </w:rPr>
  </w:style>
  <w:style w:type="paragraph" w:customStyle="1" w:styleId="70">
    <w:name w:val="40% - 强调文字颜色 2"/>
    <w:basedOn w:val="1"/>
    <w:autoRedefine/>
    <w:qFormat/>
    <w:uiPriority w:val="0"/>
    <w:pPr>
      <w:shd w:val="clear" w:color="auto" w:fill="F8CBAD"/>
      <w:spacing w:before="100" w:beforeAutospacing="1" w:after="100" w:afterAutospacing="1"/>
    </w:pPr>
    <w:rPr>
      <w:color w:val="000000"/>
      <w:sz w:val="22"/>
      <w:szCs w:val="22"/>
    </w:rPr>
  </w:style>
  <w:style w:type="paragraph" w:customStyle="1" w:styleId="71">
    <w:name w:val="60% - 强调文字颜色 2"/>
    <w:basedOn w:val="1"/>
    <w:autoRedefine/>
    <w:qFormat/>
    <w:uiPriority w:val="0"/>
    <w:pPr>
      <w:shd w:val="clear" w:color="auto" w:fill="F4B084"/>
      <w:spacing w:before="100" w:beforeAutospacing="1" w:after="100" w:afterAutospacing="1"/>
    </w:pPr>
    <w:rPr>
      <w:color w:val="FFFFFF"/>
      <w:sz w:val="22"/>
      <w:szCs w:val="22"/>
    </w:rPr>
  </w:style>
  <w:style w:type="paragraph" w:customStyle="1" w:styleId="72">
    <w:name w:val="强调文字颜色 3"/>
    <w:basedOn w:val="1"/>
    <w:autoRedefine/>
    <w:qFormat/>
    <w:uiPriority w:val="0"/>
    <w:pPr>
      <w:shd w:val="clear" w:color="auto" w:fill="A5A5A5"/>
      <w:spacing w:before="100" w:beforeAutospacing="1" w:after="100" w:afterAutospacing="1"/>
    </w:pPr>
    <w:rPr>
      <w:color w:val="FFFFFF"/>
      <w:sz w:val="22"/>
      <w:szCs w:val="22"/>
    </w:rPr>
  </w:style>
  <w:style w:type="paragraph" w:customStyle="1" w:styleId="73">
    <w:name w:val="20% - 强调文字颜色 3"/>
    <w:basedOn w:val="1"/>
    <w:autoRedefine/>
    <w:qFormat/>
    <w:uiPriority w:val="0"/>
    <w:pPr>
      <w:shd w:val="clear" w:color="auto" w:fill="EDEDED"/>
      <w:spacing w:before="100" w:beforeAutospacing="1" w:after="100" w:afterAutospacing="1"/>
    </w:pPr>
    <w:rPr>
      <w:color w:val="000000"/>
      <w:sz w:val="22"/>
      <w:szCs w:val="22"/>
    </w:rPr>
  </w:style>
  <w:style w:type="paragraph" w:customStyle="1" w:styleId="74">
    <w:name w:val="40% - 强调文字颜色 3"/>
    <w:basedOn w:val="1"/>
    <w:autoRedefine/>
    <w:qFormat/>
    <w:uiPriority w:val="0"/>
    <w:pPr>
      <w:shd w:val="clear" w:color="auto" w:fill="DBDBDB"/>
      <w:spacing w:before="100" w:beforeAutospacing="1" w:after="100" w:afterAutospacing="1"/>
    </w:pPr>
    <w:rPr>
      <w:color w:val="000000"/>
      <w:sz w:val="22"/>
      <w:szCs w:val="22"/>
    </w:rPr>
  </w:style>
  <w:style w:type="paragraph" w:customStyle="1" w:styleId="75">
    <w:name w:val="60% - 强调文字颜色 3"/>
    <w:basedOn w:val="1"/>
    <w:autoRedefine/>
    <w:qFormat/>
    <w:uiPriority w:val="0"/>
    <w:pPr>
      <w:shd w:val="clear" w:color="auto" w:fill="C9C9C9"/>
      <w:spacing w:before="100" w:beforeAutospacing="1" w:after="100" w:afterAutospacing="1"/>
    </w:pPr>
    <w:rPr>
      <w:color w:val="FFFFFF"/>
      <w:sz w:val="22"/>
      <w:szCs w:val="22"/>
    </w:rPr>
  </w:style>
  <w:style w:type="paragraph" w:customStyle="1" w:styleId="76">
    <w:name w:val="强调文字颜色 4"/>
    <w:basedOn w:val="1"/>
    <w:autoRedefine/>
    <w:qFormat/>
    <w:uiPriority w:val="0"/>
    <w:pPr>
      <w:shd w:val="clear" w:color="auto" w:fill="FFC000"/>
      <w:spacing w:before="100" w:beforeAutospacing="1" w:after="100" w:afterAutospacing="1"/>
    </w:pPr>
    <w:rPr>
      <w:color w:val="FFFFFF"/>
      <w:sz w:val="22"/>
      <w:szCs w:val="22"/>
    </w:rPr>
  </w:style>
  <w:style w:type="paragraph" w:customStyle="1" w:styleId="77">
    <w:name w:val="20% - 强调文字颜色 4"/>
    <w:basedOn w:val="1"/>
    <w:autoRedefine/>
    <w:qFormat/>
    <w:uiPriority w:val="0"/>
    <w:pPr>
      <w:shd w:val="clear" w:color="auto" w:fill="FFF2CC"/>
      <w:spacing w:before="100" w:beforeAutospacing="1" w:after="100" w:afterAutospacing="1"/>
    </w:pPr>
    <w:rPr>
      <w:color w:val="000000"/>
      <w:sz w:val="22"/>
      <w:szCs w:val="22"/>
    </w:rPr>
  </w:style>
  <w:style w:type="paragraph" w:customStyle="1" w:styleId="78">
    <w:name w:val="40% - 强调文字颜色 4"/>
    <w:basedOn w:val="1"/>
    <w:autoRedefine/>
    <w:qFormat/>
    <w:uiPriority w:val="0"/>
    <w:pPr>
      <w:shd w:val="clear" w:color="auto" w:fill="FFE699"/>
      <w:spacing w:before="100" w:beforeAutospacing="1" w:after="100" w:afterAutospacing="1"/>
    </w:pPr>
    <w:rPr>
      <w:color w:val="000000"/>
      <w:sz w:val="22"/>
      <w:szCs w:val="22"/>
    </w:rPr>
  </w:style>
  <w:style w:type="paragraph" w:customStyle="1" w:styleId="79">
    <w:name w:val="60% - 强调文字颜色 4"/>
    <w:basedOn w:val="1"/>
    <w:autoRedefine/>
    <w:qFormat/>
    <w:uiPriority w:val="0"/>
    <w:pPr>
      <w:shd w:val="clear" w:color="auto" w:fill="FFD966"/>
      <w:spacing w:before="100" w:beforeAutospacing="1" w:after="100" w:afterAutospacing="1"/>
    </w:pPr>
    <w:rPr>
      <w:color w:val="FFFFFF"/>
      <w:sz w:val="22"/>
      <w:szCs w:val="22"/>
    </w:rPr>
  </w:style>
  <w:style w:type="paragraph" w:customStyle="1" w:styleId="80">
    <w:name w:val="强调文字颜色 5"/>
    <w:basedOn w:val="1"/>
    <w:autoRedefine/>
    <w:qFormat/>
    <w:uiPriority w:val="0"/>
    <w:pPr>
      <w:shd w:val="clear" w:color="auto" w:fill="4472C4"/>
      <w:spacing w:before="100" w:beforeAutospacing="1" w:after="100" w:afterAutospacing="1"/>
    </w:pPr>
    <w:rPr>
      <w:color w:val="FFFFFF"/>
      <w:sz w:val="22"/>
      <w:szCs w:val="22"/>
    </w:rPr>
  </w:style>
  <w:style w:type="paragraph" w:customStyle="1" w:styleId="81">
    <w:name w:val="20% - 强调文字颜色 5"/>
    <w:basedOn w:val="1"/>
    <w:autoRedefine/>
    <w:qFormat/>
    <w:uiPriority w:val="0"/>
    <w:pPr>
      <w:shd w:val="clear" w:color="auto" w:fill="D9E1F2"/>
      <w:spacing w:before="100" w:beforeAutospacing="1" w:after="100" w:afterAutospacing="1"/>
    </w:pPr>
    <w:rPr>
      <w:color w:val="000000"/>
      <w:sz w:val="22"/>
      <w:szCs w:val="22"/>
    </w:rPr>
  </w:style>
  <w:style w:type="paragraph" w:customStyle="1" w:styleId="82">
    <w:name w:val="40% - 强调文字颜色 5"/>
    <w:basedOn w:val="1"/>
    <w:autoRedefine/>
    <w:qFormat/>
    <w:uiPriority w:val="0"/>
    <w:pPr>
      <w:shd w:val="clear" w:color="auto" w:fill="B4C6E7"/>
      <w:spacing w:before="100" w:beforeAutospacing="1" w:after="100" w:afterAutospacing="1"/>
    </w:pPr>
    <w:rPr>
      <w:color w:val="000000"/>
      <w:sz w:val="22"/>
      <w:szCs w:val="22"/>
    </w:rPr>
  </w:style>
  <w:style w:type="paragraph" w:customStyle="1" w:styleId="83">
    <w:name w:val="60% - 强调文字颜色 5"/>
    <w:basedOn w:val="1"/>
    <w:qFormat/>
    <w:uiPriority w:val="0"/>
    <w:pPr>
      <w:shd w:val="clear" w:color="auto" w:fill="8EA9DB"/>
      <w:spacing w:before="100" w:beforeAutospacing="1" w:after="100" w:afterAutospacing="1"/>
    </w:pPr>
    <w:rPr>
      <w:color w:val="FFFFFF"/>
      <w:sz w:val="22"/>
      <w:szCs w:val="22"/>
    </w:rPr>
  </w:style>
  <w:style w:type="paragraph" w:customStyle="1" w:styleId="84">
    <w:name w:val="强调文字颜色 6"/>
    <w:basedOn w:val="1"/>
    <w:uiPriority w:val="0"/>
    <w:pPr>
      <w:shd w:val="clear" w:color="auto" w:fill="70AD47"/>
      <w:spacing w:before="100" w:beforeAutospacing="1" w:after="100" w:afterAutospacing="1"/>
    </w:pPr>
    <w:rPr>
      <w:color w:val="FFFFFF"/>
      <w:sz w:val="22"/>
      <w:szCs w:val="22"/>
    </w:rPr>
  </w:style>
  <w:style w:type="paragraph" w:customStyle="1" w:styleId="85">
    <w:name w:val="20% - 强调文字颜色 6"/>
    <w:basedOn w:val="1"/>
    <w:autoRedefine/>
    <w:qFormat/>
    <w:uiPriority w:val="0"/>
    <w:pPr>
      <w:shd w:val="clear" w:color="auto" w:fill="E2EFDA"/>
      <w:spacing w:before="100" w:beforeAutospacing="1" w:after="100" w:afterAutospacing="1"/>
    </w:pPr>
    <w:rPr>
      <w:color w:val="000000"/>
      <w:sz w:val="22"/>
      <w:szCs w:val="22"/>
    </w:rPr>
  </w:style>
  <w:style w:type="paragraph" w:customStyle="1" w:styleId="86">
    <w:name w:val="40% - 强调文字颜色 6"/>
    <w:basedOn w:val="1"/>
    <w:autoRedefine/>
    <w:qFormat/>
    <w:uiPriority w:val="0"/>
    <w:pPr>
      <w:shd w:val="clear" w:color="auto" w:fill="C6E0B4"/>
      <w:spacing w:before="100" w:beforeAutospacing="1" w:after="100" w:afterAutospacing="1"/>
    </w:pPr>
    <w:rPr>
      <w:color w:val="000000"/>
      <w:sz w:val="22"/>
      <w:szCs w:val="22"/>
    </w:rPr>
  </w:style>
  <w:style w:type="paragraph" w:customStyle="1" w:styleId="87">
    <w:name w:val="60% - 强调文字颜色 6"/>
    <w:basedOn w:val="1"/>
    <w:autoRedefine/>
    <w:qFormat/>
    <w:uiPriority w:val="0"/>
    <w:pPr>
      <w:shd w:val="clear" w:color="auto" w:fill="A9D08E"/>
      <w:spacing w:before="100" w:beforeAutospacing="1" w:after="100" w:afterAutospacing="1"/>
    </w:pPr>
    <w:rPr>
      <w:color w:val="FFFFFF"/>
      <w:sz w:val="22"/>
      <w:szCs w:val="22"/>
    </w:rPr>
  </w:style>
  <w:style w:type="paragraph" w:customStyle="1" w:styleId="88">
    <w:name w:val="常规 2"/>
    <w:basedOn w:val="1"/>
    <w:uiPriority w:val="0"/>
    <w:pPr>
      <w:spacing w:before="100" w:beforeAutospacing="1" w:after="100" w:afterAutospacing="1"/>
      <w:textAlignment w:val="center"/>
    </w:pPr>
    <w:rPr>
      <w:color w:val="000000"/>
      <w:sz w:val="22"/>
      <w:szCs w:val="22"/>
    </w:rPr>
  </w:style>
  <w:style w:type="table" w:customStyle="1" w:styleId="89">
    <w:name w:val="常规1"/>
    <w:basedOn w:val="9"/>
    <w:autoRedefine/>
    <w:uiPriority w:val="0"/>
    <w:pPr>
      <w:spacing w:before="100" w:beforeAutospacing="1" w:after="100" w:afterAutospacing="1"/>
    </w:pPr>
    <w:rPr>
      <w:rFonts w:ascii="宋体" w:hAnsi="宋体" w:eastAsia="宋体"/>
      <w:color w:val="000000"/>
      <w:sz w:val="22"/>
      <w:szCs w:val="22"/>
    </w:rPr>
    <w:tblPr>
      <w:tblCellMar>
        <w:left w:w="0" w:type="dxa"/>
        <w:right w:w="0" w:type="dxa"/>
      </w:tblCellMar>
    </w:tblPr>
    <w:tcPr>
      <w:noWrap/>
      <w:vAlign w:val="center"/>
    </w:tcPr>
  </w:style>
  <w:style w:type="table" w:customStyle="1" w:styleId="90">
    <w:name w:val="千位分隔1"/>
    <w:basedOn w:val="9"/>
    <w:autoRedefine/>
    <w:uiPriority w:val="0"/>
    <w:pPr>
      <w:spacing w:before="100" w:beforeAutospacing="1" w:after="100" w:afterAutospacing="1"/>
    </w:pPr>
    <w:tblPr>
      <w:tblCellMar>
        <w:left w:w="0" w:type="dxa"/>
        <w:right w:w="0" w:type="dxa"/>
      </w:tblCellMar>
    </w:tblPr>
  </w:style>
  <w:style w:type="table" w:customStyle="1" w:styleId="91">
    <w:name w:val="货币1"/>
    <w:basedOn w:val="9"/>
    <w:autoRedefine/>
    <w:qFormat/>
    <w:uiPriority w:val="0"/>
    <w:pPr>
      <w:spacing w:before="100" w:beforeAutospacing="1" w:after="100" w:afterAutospacing="1"/>
    </w:pPr>
    <w:tblPr>
      <w:tblCellMar>
        <w:left w:w="0" w:type="dxa"/>
        <w:right w:w="0" w:type="dxa"/>
      </w:tblCellMar>
    </w:tblPr>
  </w:style>
  <w:style w:type="table" w:customStyle="1" w:styleId="92">
    <w:name w:val="百分比1"/>
    <w:basedOn w:val="9"/>
    <w:autoRedefine/>
    <w:qFormat/>
    <w:uiPriority w:val="0"/>
    <w:pPr>
      <w:spacing w:before="100" w:beforeAutospacing="1" w:after="100" w:afterAutospacing="1"/>
    </w:pPr>
    <w:tblPr>
      <w:tblCellMar>
        <w:left w:w="0" w:type="dxa"/>
        <w:right w:w="0" w:type="dxa"/>
      </w:tblCellMar>
    </w:tblPr>
  </w:style>
  <w:style w:type="table" w:customStyle="1" w:styleId="93">
    <w:name w:val="千位分隔[0]1"/>
    <w:basedOn w:val="9"/>
    <w:qFormat/>
    <w:uiPriority w:val="0"/>
    <w:pPr>
      <w:spacing w:before="100" w:beforeAutospacing="1" w:after="100" w:afterAutospacing="1"/>
    </w:pPr>
    <w:tblPr>
      <w:tblCellMar>
        <w:left w:w="0" w:type="dxa"/>
        <w:right w:w="0" w:type="dxa"/>
      </w:tblCellMar>
    </w:tblPr>
  </w:style>
  <w:style w:type="table" w:customStyle="1" w:styleId="94">
    <w:name w:val="货币[0]1"/>
    <w:basedOn w:val="9"/>
    <w:qFormat/>
    <w:uiPriority w:val="0"/>
    <w:pPr>
      <w:spacing w:before="100" w:beforeAutospacing="1" w:after="100" w:afterAutospacing="1"/>
    </w:pPr>
    <w:tblPr>
      <w:tblCellMar>
        <w:left w:w="0" w:type="dxa"/>
        <w:right w:w="0" w:type="dxa"/>
      </w:tblCellMar>
    </w:tblPr>
  </w:style>
  <w:style w:type="table" w:customStyle="1" w:styleId="95">
    <w:name w:val="超链接2"/>
    <w:basedOn w:val="9"/>
    <w:qFormat/>
    <w:uiPriority w:val="0"/>
    <w:pPr>
      <w:spacing w:before="100" w:beforeAutospacing="1" w:after="100" w:afterAutospacing="1"/>
    </w:pPr>
    <w:rPr>
      <w:rFonts w:ascii="宋体" w:hAnsi="宋体" w:eastAsia="宋体"/>
      <w:color w:val="0000FF"/>
      <w:sz w:val="22"/>
      <w:szCs w:val="22"/>
      <w:u w:val="single"/>
    </w:rPr>
    <w:tblPr>
      <w:tblCellMar>
        <w:left w:w="0" w:type="dxa"/>
        <w:right w:w="0" w:type="dxa"/>
      </w:tblCellMar>
    </w:tblPr>
  </w:style>
  <w:style w:type="table" w:customStyle="1" w:styleId="96">
    <w:name w:val="已访问的超链接1"/>
    <w:basedOn w:val="9"/>
    <w:autoRedefine/>
    <w:uiPriority w:val="0"/>
    <w:pPr>
      <w:spacing w:before="100" w:beforeAutospacing="1" w:after="100" w:afterAutospacing="1"/>
    </w:pPr>
    <w:rPr>
      <w:rFonts w:ascii="宋体" w:hAnsi="宋体" w:eastAsia="宋体"/>
      <w:color w:val="800080"/>
      <w:sz w:val="22"/>
      <w:szCs w:val="22"/>
      <w:u w:val="single"/>
    </w:rPr>
    <w:tblPr>
      <w:tblCellMar>
        <w:left w:w="0" w:type="dxa"/>
        <w:right w:w="0" w:type="dxa"/>
      </w:tblCellMar>
    </w:tblPr>
  </w:style>
  <w:style w:type="table" w:customStyle="1" w:styleId="97">
    <w:name w:val="注释1"/>
    <w:basedOn w:val="9"/>
    <w:qFormat/>
    <w:uiPriority w:val="0"/>
    <w:pPr>
      <w:spacing w:before="100" w:beforeAutospacing="1" w:after="100" w:afterAutospacing="1"/>
    </w:pPr>
    <w:tblPr>
      <w:tblBorders>
        <w:top w:val="single" w:color="B2B2B2" w:sz="4" w:space="0"/>
        <w:left w:val="single" w:color="B2B2B2" w:sz="4" w:space="0"/>
        <w:bottom w:val="single" w:color="B2B2B2" w:sz="4" w:space="0"/>
        <w:right w:val="single" w:color="B2B2B2" w:sz="4" w:space="0"/>
      </w:tblBorders>
      <w:tblCellMar>
        <w:left w:w="0" w:type="dxa"/>
        <w:right w:w="0" w:type="dxa"/>
      </w:tblCellMar>
    </w:tblPr>
  </w:style>
  <w:style w:type="table" w:customStyle="1" w:styleId="98">
    <w:name w:val="警告文本1"/>
    <w:basedOn w:val="9"/>
    <w:autoRedefine/>
    <w:qFormat/>
    <w:uiPriority w:val="0"/>
    <w:pPr>
      <w:spacing w:before="100" w:beforeAutospacing="1" w:after="100" w:afterAutospacing="1"/>
    </w:pPr>
    <w:rPr>
      <w:rFonts w:ascii="宋体" w:hAnsi="宋体" w:eastAsia="宋体"/>
      <w:color w:val="FF0000"/>
      <w:sz w:val="22"/>
      <w:szCs w:val="22"/>
    </w:rPr>
    <w:tblPr>
      <w:tblCellMar>
        <w:left w:w="0" w:type="dxa"/>
        <w:right w:w="0" w:type="dxa"/>
      </w:tblCellMar>
    </w:tblPr>
  </w:style>
  <w:style w:type="table" w:customStyle="1" w:styleId="99">
    <w:name w:val="标题1"/>
    <w:basedOn w:val="9"/>
    <w:uiPriority w:val="0"/>
    <w:pPr>
      <w:spacing w:before="100" w:beforeAutospacing="1" w:after="100" w:afterAutospacing="1"/>
    </w:pPr>
    <w:rPr>
      <w:rFonts w:ascii="宋体" w:hAnsi="宋体" w:eastAsia="宋体"/>
      <w:b/>
      <w:bCs/>
      <w:color w:val="44546A"/>
      <w:sz w:val="36"/>
      <w:szCs w:val="36"/>
    </w:rPr>
    <w:tblPr>
      <w:tblCellMar>
        <w:left w:w="0" w:type="dxa"/>
        <w:right w:w="0" w:type="dxa"/>
      </w:tblCellMar>
    </w:tblPr>
  </w:style>
  <w:style w:type="table" w:customStyle="1" w:styleId="100">
    <w:name w:val="解释性文本1"/>
    <w:basedOn w:val="9"/>
    <w:uiPriority w:val="0"/>
    <w:pPr>
      <w:spacing w:before="100" w:beforeAutospacing="1" w:after="100" w:afterAutospacing="1"/>
    </w:pPr>
    <w:rPr>
      <w:rFonts w:ascii="宋体" w:hAnsi="宋体" w:eastAsia="宋体"/>
      <w:i/>
      <w:iCs/>
      <w:color w:val="7F7F7F"/>
      <w:sz w:val="22"/>
      <w:szCs w:val="22"/>
    </w:rPr>
    <w:tblPr>
      <w:tblCellMar>
        <w:left w:w="0" w:type="dxa"/>
        <w:right w:w="0" w:type="dxa"/>
      </w:tblCellMar>
    </w:tblPr>
  </w:style>
  <w:style w:type="table" w:customStyle="1" w:styleId="101">
    <w:name w:val="标题 11"/>
    <w:basedOn w:val="9"/>
    <w:uiPriority w:val="0"/>
    <w:pPr>
      <w:spacing w:before="100" w:beforeAutospacing="1" w:after="100" w:afterAutospacing="1"/>
    </w:pPr>
    <w:rPr>
      <w:rFonts w:ascii="宋体" w:hAnsi="宋体" w:eastAsia="宋体"/>
      <w:b/>
      <w:bCs/>
      <w:color w:val="44546A"/>
      <w:sz w:val="30"/>
      <w:szCs w:val="30"/>
    </w:rPr>
    <w:tblPr>
      <w:tblBorders>
        <w:bottom w:val="single" w:color="5B9BD5" w:sz="8" w:space="0"/>
      </w:tblBorders>
      <w:tblCellMar>
        <w:left w:w="0" w:type="dxa"/>
        <w:right w:w="0" w:type="dxa"/>
      </w:tblCellMar>
    </w:tblPr>
  </w:style>
  <w:style w:type="table" w:customStyle="1" w:styleId="102">
    <w:name w:val="标题 21"/>
    <w:basedOn w:val="9"/>
    <w:qFormat/>
    <w:uiPriority w:val="0"/>
    <w:pPr>
      <w:spacing w:before="100" w:beforeAutospacing="1" w:after="100" w:afterAutospacing="1"/>
    </w:pPr>
    <w:rPr>
      <w:rFonts w:ascii="宋体" w:hAnsi="宋体" w:eastAsia="宋体"/>
      <w:b/>
      <w:bCs/>
      <w:color w:val="44546A"/>
      <w:sz w:val="26"/>
      <w:szCs w:val="26"/>
    </w:rPr>
    <w:tblPr>
      <w:tblBorders>
        <w:bottom w:val="single" w:color="5B9BD5" w:sz="8" w:space="0"/>
      </w:tblBorders>
      <w:tblCellMar>
        <w:left w:w="0" w:type="dxa"/>
        <w:right w:w="0" w:type="dxa"/>
      </w:tblCellMar>
    </w:tblPr>
  </w:style>
  <w:style w:type="table" w:customStyle="1" w:styleId="103">
    <w:name w:val="标题 31"/>
    <w:basedOn w:val="9"/>
    <w:autoRedefine/>
    <w:qFormat/>
    <w:uiPriority w:val="0"/>
    <w:pPr>
      <w:spacing w:before="100" w:beforeAutospacing="1" w:after="100" w:afterAutospacing="1"/>
    </w:pPr>
    <w:rPr>
      <w:rFonts w:ascii="宋体" w:hAnsi="宋体" w:eastAsia="宋体"/>
      <w:b/>
      <w:bCs/>
      <w:color w:val="44546A"/>
      <w:sz w:val="22"/>
      <w:szCs w:val="22"/>
    </w:rPr>
    <w:tblPr>
      <w:tblBorders>
        <w:bottom w:val="single" w:color="ACCCEA" w:sz="8" w:space="0"/>
      </w:tblBorders>
      <w:tblCellMar>
        <w:left w:w="0" w:type="dxa"/>
        <w:right w:w="0" w:type="dxa"/>
      </w:tblCellMar>
    </w:tblPr>
  </w:style>
  <w:style w:type="table" w:customStyle="1" w:styleId="104">
    <w:name w:val="标题 41"/>
    <w:basedOn w:val="9"/>
    <w:uiPriority w:val="0"/>
    <w:pPr>
      <w:spacing w:before="100" w:beforeAutospacing="1" w:after="100" w:afterAutospacing="1"/>
    </w:pPr>
    <w:rPr>
      <w:rFonts w:ascii="宋体" w:hAnsi="宋体" w:eastAsia="宋体"/>
      <w:b/>
      <w:bCs/>
      <w:color w:val="44546A"/>
      <w:sz w:val="22"/>
      <w:szCs w:val="22"/>
    </w:rPr>
    <w:tblPr>
      <w:tblCellMar>
        <w:left w:w="0" w:type="dxa"/>
        <w:right w:w="0" w:type="dxa"/>
      </w:tblCellMar>
    </w:tblPr>
  </w:style>
  <w:style w:type="table" w:customStyle="1" w:styleId="105">
    <w:name w:val="输入1"/>
    <w:basedOn w:val="9"/>
    <w:autoRedefine/>
    <w:qFormat/>
    <w:uiPriority w:val="0"/>
    <w:pPr>
      <w:spacing w:before="100" w:beforeAutospacing="1" w:after="100" w:afterAutospacing="1"/>
    </w:pPr>
    <w:rPr>
      <w:rFonts w:ascii="宋体" w:hAnsi="宋体" w:eastAsia="宋体"/>
      <w:color w:val="3F3F76"/>
      <w:sz w:val="22"/>
      <w:szCs w:val="22"/>
    </w:rPr>
    <w:tblPr>
      <w:tblBorders>
        <w:top w:val="single" w:color="7F7F7F" w:sz="4" w:space="0"/>
        <w:left w:val="single" w:color="7F7F7F" w:sz="4" w:space="0"/>
        <w:bottom w:val="single" w:color="7F7F7F" w:sz="4" w:space="0"/>
        <w:right w:val="single" w:color="7F7F7F" w:sz="4" w:space="0"/>
      </w:tblBorders>
      <w:tblCellMar>
        <w:left w:w="0" w:type="dxa"/>
        <w:right w:w="0" w:type="dxa"/>
      </w:tblCellMar>
    </w:tblPr>
  </w:style>
  <w:style w:type="table" w:customStyle="1" w:styleId="106">
    <w:name w:val="输出1"/>
    <w:basedOn w:val="9"/>
    <w:uiPriority w:val="0"/>
    <w:pPr>
      <w:spacing w:before="100" w:beforeAutospacing="1" w:after="100" w:afterAutospacing="1"/>
    </w:pPr>
    <w:rPr>
      <w:rFonts w:ascii="宋体" w:hAnsi="宋体" w:eastAsia="宋体"/>
      <w:b/>
      <w:bCs/>
      <w:color w:val="3F3F3F"/>
      <w:sz w:val="22"/>
      <w:szCs w:val="22"/>
    </w:rPr>
    <w:tblPr>
      <w:tblBorders>
        <w:top w:val="single" w:color="3F3F3F" w:sz="4" w:space="0"/>
        <w:left w:val="single" w:color="3F3F3F" w:sz="4" w:space="0"/>
        <w:bottom w:val="single" w:color="3F3F3F" w:sz="4" w:space="0"/>
        <w:right w:val="single" w:color="3F3F3F" w:sz="4" w:space="0"/>
      </w:tblBorders>
      <w:tblCellMar>
        <w:left w:w="0" w:type="dxa"/>
        <w:right w:w="0" w:type="dxa"/>
      </w:tblCellMar>
    </w:tblPr>
  </w:style>
  <w:style w:type="table" w:customStyle="1" w:styleId="107">
    <w:name w:val="计算1"/>
    <w:basedOn w:val="9"/>
    <w:autoRedefine/>
    <w:qFormat/>
    <w:uiPriority w:val="0"/>
    <w:pPr>
      <w:spacing w:before="100" w:beforeAutospacing="1" w:after="100" w:afterAutospacing="1"/>
    </w:pPr>
    <w:rPr>
      <w:rFonts w:ascii="宋体" w:hAnsi="宋体" w:eastAsia="宋体"/>
      <w:b/>
      <w:bCs/>
      <w:color w:val="FA7D00"/>
      <w:sz w:val="22"/>
      <w:szCs w:val="22"/>
    </w:rPr>
    <w:tblPr>
      <w:tblBorders>
        <w:top w:val="single" w:color="7F7F7F" w:sz="4" w:space="0"/>
        <w:left w:val="single" w:color="7F7F7F" w:sz="4" w:space="0"/>
        <w:bottom w:val="single" w:color="7F7F7F" w:sz="4" w:space="0"/>
        <w:right w:val="single" w:color="7F7F7F" w:sz="4" w:space="0"/>
      </w:tblBorders>
      <w:tblCellMar>
        <w:left w:w="0" w:type="dxa"/>
        <w:right w:w="0" w:type="dxa"/>
      </w:tblCellMar>
    </w:tblPr>
  </w:style>
  <w:style w:type="table" w:customStyle="1" w:styleId="108">
    <w:name w:val="检查单元格1"/>
    <w:basedOn w:val="9"/>
    <w:autoRedefine/>
    <w:uiPriority w:val="0"/>
    <w:pPr>
      <w:spacing w:before="100" w:beforeAutospacing="1" w:after="100" w:afterAutospacing="1"/>
    </w:pPr>
    <w:rPr>
      <w:rFonts w:ascii="宋体" w:hAnsi="宋体" w:eastAsia="宋体"/>
      <w:b/>
      <w:bCs/>
      <w:color w:val="FFFFFF"/>
      <w:sz w:val="22"/>
      <w:szCs w:val="22"/>
    </w:rPr>
    <w:tblPr>
      <w:tblBorders>
        <w:top w:val="double" w:color="3F3F3F" w:sz="6" w:space="0"/>
        <w:left w:val="double" w:color="3F3F3F" w:sz="6" w:space="0"/>
        <w:bottom w:val="double" w:color="3F3F3F" w:sz="6" w:space="0"/>
        <w:right w:val="double" w:color="3F3F3F" w:sz="6" w:space="0"/>
      </w:tblBorders>
      <w:tblCellMar>
        <w:left w:w="0" w:type="dxa"/>
        <w:right w:w="0" w:type="dxa"/>
      </w:tblCellMar>
    </w:tblPr>
  </w:style>
  <w:style w:type="table" w:customStyle="1" w:styleId="109">
    <w:name w:val="链接单元格1"/>
    <w:basedOn w:val="9"/>
    <w:autoRedefine/>
    <w:qFormat/>
    <w:uiPriority w:val="0"/>
    <w:pPr>
      <w:spacing w:before="100" w:beforeAutospacing="1" w:after="100" w:afterAutospacing="1"/>
    </w:pPr>
    <w:rPr>
      <w:rFonts w:ascii="宋体" w:hAnsi="宋体" w:eastAsia="宋体"/>
      <w:color w:val="FA7D00"/>
      <w:sz w:val="22"/>
      <w:szCs w:val="22"/>
    </w:rPr>
    <w:tblPr>
      <w:tblBorders>
        <w:bottom w:val="double" w:color="FF8001" w:sz="6" w:space="0"/>
      </w:tblBorders>
      <w:tblCellMar>
        <w:left w:w="0" w:type="dxa"/>
        <w:right w:w="0" w:type="dxa"/>
      </w:tblCellMar>
    </w:tblPr>
  </w:style>
  <w:style w:type="table" w:customStyle="1" w:styleId="110">
    <w:name w:val="汇总1"/>
    <w:basedOn w:val="9"/>
    <w:autoRedefine/>
    <w:qFormat/>
    <w:uiPriority w:val="0"/>
    <w:pPr>
      <w:spacing w:before="100" w:beforeAutospacing="1" w:after="100" w:afterAutospacing="1"/>
    </w:pPr>
    <w:rPr>
      <w:rFonts w:ascii="宋体" w:hAnsi="宋体" w:eastAsia="宋体"/>
      <w:b/>
      <w:bCs/>
      <w:color w:val="000000"/>
      <w:sz w:val="22"/>
      <w:szCs w:val="22"/>
    </w:rPr>
    <w:tblPr>
      <w:tblBorders>
        <w:top w:val="single" w:color="5B9BD5" w:sz="4" w:space="0"/>
        <w:bottom w:val="double" w:color="5B9BD5" w:sz="6" w:space="0"/>
      </w:tblBorders>
      <w:tblCellMar>
        <w:left w:w="0" w:type="dxa"/>
        <w:right w:w="0" w:type="dxa"/>
      </w:tblCellMar>
    </w:tblPr>
  </w:style>
  <w:style w:type="table" w:customStyle="1" w:styleId="111">
    <w:name w:val="好1"/>
    <w:basedOn w:val="9"/>
    <w:autoRedefine/>
    <w:uiPriority w:val="0"/>
    <w:pPr>
      <w:spacing w:before="100" w:beforeAutospacing="1" w:after="100" w:afterAutospacing="1"/>
    </w:pPr>
    <w:rPr>
      <w:rFonts w:ascii="宋体" w:hAnsi="宋体" w:eastAsia="宋体"/>
      <w:color w:val="006100"/>
      <w:sz w:val="22"/>
      <w:szCs w:val="22"/>
    </w:rPr>
    <w:tblPr>
      <w:tblCellMar>
        <w:left w:w="0" w:type="dxa"/>
        <w:right w:w="0" w:type="dxa"/>
      </w:tblCellMar>
    </w:tblPr>
  </w:style>
  <w:style w:type="table" w:customStyle="1" w:styleId="112">
    <w:name w:val="差1"/>
    <w:basedOn w:val="9"/>
    <w:qFormat/>
    <w:uiPriority w:val="0"/>
    <w:pPr>
      <w:spacing w:before="100" w:beforeAutospacing="1" w:after="100" w:afterAutospacing="1"/>
    </w:pPr>
    <w:rPr>
      <w:rFonts w:ascii="宋体" w:hAnsi="宋体" w:eastAsia="宋体"/>
      <w:color w:val="9C0006"/>
      <w:sz w:val="22"/>
      <w:szCs w:val="22"/>
    </w:rPr>
    <w:tblPr>
      <w:tblCellMar>
        <w:left w:w="0" w:type="dxa"/>
        <w:right w:w="0" w:type="dxa"/>
      </w:tblCellMar>
    </w:tblPr>
  </w:style>
  <w:style w:type="table" w:customStyle="1" w:styleId="113">
    <w:name w:val="适中1"/>
    <w:basedOn w:val="9"/>
    <w:uiPriority w:val="0"/>
    <w:pPr>
      <w:spacing w:before="100" w:beforeAutospacing="1" w:after="100" w:afterAutospacing="1"/>
    </w:pPr>
    <w:rPr>
      <w:rFonts w:ascii="宋体" w:hAnsi="宋体" w:eastAsia="宋体"/>
      <w:color w:val="9C6500"/>
      <w:sz w:val="22"/>
      <w:szCs w:val="22"/>
    </w:rPr>
    <w:tblPr>
      <w:tblCellMar>
        <w:left w:w="0" w:type="dxa"/>
        <w:right w:w="0" w:type="dxa"/>
      </w:tblCellMar>
    </w:tblPr>
  </w:style>
  <w:style w:type="table" w:customStyle="1" w:styleId="114">
    <w:name w:val="强调文字颜色 11"/>
    <w:basedOn w:val="9"/>
    <w:autoRedefine/>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15">
    <w:name w:val="20% - 强调文字颜色 1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16">
    <w:name w:val="40% - 强调文字颜色 11"/>
    <w:basedOn w:val="9"/>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17">
    <w:name w:val="60% - 强调文字颜色 1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18">
    <w:name w:val="强调文字颜色 2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19">
    <w:name w:val="20% - 强调文字颜色 2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20">
    <w:name w:val="40% - 强调文字颜色 2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21">
    <w:name w:val="60% - 强调文字颜色 2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22">
    <w:name w:val="强调文字颜色 3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23">
    <w:name w:val="20% - 强调文字颜色 3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24">
    <w:name w:val="40% - 强调文字颜色 3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25">
    <w:name w:val="60% - 强调文字颜色 3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26">
    <w:name w:val="强调文字颜色 4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27">
    <w:name w:val="20% - 强调文字颜色 4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28">
    <w:name w:val="40% - 强调文字颜色 4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29">
    <w:name w:val="60% - 强调文字颜色 4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30">
    <w:name w:val="强调文字颜色 5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31">
    <w:name w:val="20% - 强调文字颜色 5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32">
    <w:name w:val="40% - 强调文字颜色 5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33">
    <w:name w:val="60% - 强调文字颜色 5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34">
    <w:name w:val="强调文字颜色 6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35">
    <w:name w:val="20% - 强调文字颜色 6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36">
    <w:name w:val="40% - 强调文字颜色 6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style>
  <w:style w:type="table" w:customStyle="1" w:styleId="137">
    <w:name w:val="60% - 强调文字颜色 61"/>
    <w:basedOn w:val="9"/>
    <w:autoRedefine/>
    <w:qFormat/>
    <w:uiPriority w:val="0"/>
    <w:pPr>
      <w:spacing w:before="100" w:beforeAutospacing="1" w:after="100" w:afterAutospacing="1"/>
    </w:pPr>
    <w:rPr>
      <w:rFonts w:ascii="宋体" w:hAnsi="宋体" w:eastAsia="宋体"/>
      <w:color w:val="FFFFFF"/>
      <w:sz w:val="22"/>
      <w:szCs w:val="22"/>
    </w:rPr>
    <w:tblPr>
      <w:tblCellMar>
        <w:left w:w="0" w:type="dxa"/>
        <w:right w:w="0" w:type="dxa"/>
      </w:tblCellMar>
    </w:tblPr>
  </w:style>
  <w:style w:type="table" w:customStyle="1" w:styleId="138">
    <w:name w:val="常规 21"/>
    <w:basedOn w:val="9"/>
    <w:autoRedefine/>
    <w:qFormat/>
    <w:uiPriority w:val="0"/>
    <w:pPr>
      <w:spacing w:before="100" w:beforeAutospacing="1" w:after="100" w:afterAutospacing="1"/>
    </w:pPr>
    <w:rPr>
      <w:rFonts w:ascii="宋体" w:hAnsi="宋体" w:eastAsia="宋体"/>
      <w:color w:val="000000"/>
      <w:sz w:val="22"/>
      <w:szCs w:val="22"/>
    </w:rPr>
    <w:tblPr>
      <w:tblCellMar>
        <w:left w:w="0" w:type="dxa"/>
        <w:right w:w="0" w:type="dxa"/>
      </w:tblCellMar>
    </w:tblPr>
    <w:tcPr>
      <w:noWrap/>
      <w:vAlign w:val="center"/>
    </w:tcPr>
  </w:style>
  <w:style w:type="paragraph" w:customStyle="1" w:styleId="139">
    <w:name w:val="超链接3"/>
    <w:basedOn w:val="1"/>
    <w:autoRedefine/>
    <w:qFormat/>
    <w:uiPriority w:val="0"/>
    <w:pPr>
      <w:spacing w:before="100" w:beforeAutospacing="1" w:after="100" w:afterAutospacing="1"/>
    </w:pPr>
    <w:rPr>
      <w:color w:val="0000FF"/>
      <w:sz w:val="22"/>
      <w:szCs w:val="22"/>
      <w:u w:val="single"/>
    </w:rPr>
  </w:style>
  <w:style w:type="paragraph" w:customStyle="1" w:styleId="140">
    <w:name w:val="style64"/>
    <w:basedOn w:val="1"/>
    <w:autoRedefine/>
    <w:qFormat/>
    <w:uiPriority w:val="0"/>
    <w:pPr>
      <w:spacing w:before="100" w:beforeAutospacing="1" w:after="100" w:afterAutospacing="1"/>
    </w:pPr>
  </w:style>
  <w:style w:type="paragraph" w:customStyle="1" w:styleId="141">
    <w:name w:val="xl86"/>
    <w:basedOn w:val="140"/>
    <w:autoRedefine/>
    <w:qFormat/>
    <w:uiPriority w:val="0"/>
    <w:pPr>
      <w:pBdr>
        <w:bottom w:val="single" w:color="auto" w:sz="4" w:space="0"/>
        <w:right w:val="single" w:color="auto" w:sz="4" w:space="0"/>
      </w:pBdr>
      <w:jc w:val="center"/>
    </w:pPr>
  </w:style>
  <w:style w:type="paragraph" w:customStyle="1" w:styleId="142">
    <w:name w:val="xl85"/>
    <w:basedOn w:val="140"/>
    <w:autoRedefine/>
    <w:qFormat/>
    <w:uiPriority w:val="0"/>
    <w:pPr>
      <w:pBdr>
        <w:bottom w:val="single" w:color="auto" w:sz="4" w:space="0"/>
        <w:right w:val="single" w:color="auto" w:sz="4" w:space="0"/>
      </w:pBdr>
      <w:jc w:val="center"/>
    </w:pPr>
  </w:style>
  <w:style w:type="paragraph" w:customStyle="1" w:styleId="143">
    <w:name w:val="xl84"/>
    <w:basedOn w:val="140"/>
    <w:qFormat/>
    <w:uiPriority w:val="0"/>
    <w:pPr>
      <w:pBdr>
        <w:bottom w:val="single" w:color="auto" w:sz="4" w:space="0"/>
        <w:right w:val="single" w:color="auto" w:sz="4" w:space="0"/>
      </w:pBdr>
      <w:jc w:val="center"/>
    </w:pPr>
  </w:style>
  <w:style w:type="paragraph" w:customStyle="1" w:styleId="144">
    <w:name w:val="xl83"/>
    <w:basedOn w:val="140"/>
    <w:autoRedefine/>
    <w:uiPriority w:val="0"/>
    <w:pPr>
      <w:pBdr>
        <w:top w:val="single" w:color="auto" w:sz="4" w:space="0"/>
        <w:bottom w:val="single" w:color="auto" w:sz="4" w:space="0"/>
        <w:right w:val="single" w:color="auto" w:sz="4" w:space="0"/>
      </w:pBdr>
    </w:pPr>
  </w:style>
  <w:style w:type="paragraph" w:customStyle="1" w:styleId="145">
    <w:name w:val="xl82"/>
    <w:basedOn w:val="140"/>
    <w:autoRedefine/>
    <w:qFormat/>
    <w:uiPriority w:val="0"/>
    <w:pPr>
      <w:pBdr>
        <w:bottom w:val="single" w:color="auto" w:sz="4" w:space="0"/>
        <w:right w:val="single" w:color="auto" w:sz="4" w:space="0"/>
      </w:pBdr>
      <w:jc w:val="both"/>
    </w:pPr>
  </w:style>
  <w:style w:type="paragraph" w:customStyle="1" w:styleId="146">
    <w:name w:val="xl81"/>
    <w:basedOn w:val="140"/>
    <w:qFormat/>
    <w:uiPriority w:val="0"/>
    <w:pPr>
      <w:pBdr>
        <w:bottom w:val="single" w:color="auto" w:sz="4" w:space="0"/>
        <w:right w:val="single" w:color="auto" w:sz="4" w:space="0"/>
      </w:pBdr>
      <w:jc w:val="both"/>
    </w:pPr>
  </w:style>
  <w:style w:type="paragraph" w:customStyle="1" w:styleId="147">
    <w:name w:val="xl80"/>
    <w:basedOn w:val="140"/>
    <w:autoRedefine/>
    <w:qFormat/>
    <w:uiPriority w:val="0"/>
    <w:pPr>
      <w:pBdr>
        <w:bottom w:val="single" w:color="auto" w:sz="4" w:space="0"/>
        <w:right w:val="single" w:color="auto" w:sz="4" w:space="0"/>
      </w:pBdr>
    </w:pPr>
  </w:style>
  <w:style w:type="paragraph" w:customStyle="1" w:styleId="148">
    <w:name w:val="xl79"/>
    <w:basedOn w:val="140"/>
    <w:autoRedefine/>
    <w:qFormat/>
    <w:uiPriority w:val="0"/>
    <w:pPr>
      <w:pBdr>
        <w:bottom w:val="single" w:color="auto" w:sz="4" w:space="0"/>
        <w:right w:val="single" w:color="auto" w:sz="4" w:space="0"/>
      </w:pBdr>
    </w:pPr>
  </w:style>
  <w:style w:type="paragraph" w:customStyle="1" w:styleId="149">
    <w:name w:val="xl78"/>
    <w:basedOn w:val="140"/>
    <w:uiPriority w:val="0"/>
    <w:pPr>
      <w:pBdr>
        <w:bottom w:val="single" w:color="auto" w:sz="4" w:space="0"/>
        <w:right w:val="single" w:color="auto" w:sz="4" w:space="0"/>
      </w:pBdr>
    </w:pPr>
  </w:style>
  <w:style w:type="paragraph" w:customStyle="1" w:styleId="150">
    <w:name w:val="xl77"/>
    <w:basedOn w:val="140"/>
    <w:autoRedefine/>
    <w:qFormat/>
    <w:uiPriority w:val="0"/>
    <w:pPr>
      <w:pBdr>
        <w:bottom w:val="single" w:color="auto" w:sz="4" w:space="0"/>
        <w:right w:val="single" w:color="auto" w:sz="4" w:space="0"/>
      </w:pBdr>
      <w:jc w:val="both"/>
    </w:pPr>
  </w:style>
  <w:style w:type="paragraph" w:customStyle="1" w:styleId="151">
    <w:name w:val="xl76"/>
    <w:basedOn w:val="140"/>
    <w:autoRedefine/>
    <w:uiPriority w:val="0"/>
    <w:pPr>
      <w:pBdr>
        <w:bottom w:val="single" w:color="auto" w:sz="4" w:space="0"/>
        <w:right w:val="single" w:color="auto" w:sz="4" w:space="0"/>
      </w:pBdr>
    </w:pPr>
  </w:style>
  <w:style w:type="paragraph" w:customStyle="1" w:styleId="152">
    <w:name w:val="xl75"/>
    <w:basedOn w:val="140"/>
    <w:autoRedefine/>
    <w:qFormat/>
    <w:uiPriority w:val="0"/>
    <w:pPr>
      <w:pBdr>
        <w:bottom w:val="single" w:color="auto" w:sz="4" w:space="0"/>
        <w:right w:val="single" w:color="auto" w:sz="4" w:space="0"/>
      </w:pBdr>
      <w:jc w:val="both"/>
    </w:pPr>
  </w:style>
  <w:style w:type="paragraph" w:customStyle="1" w:styleId="153">
    <w:name w:val="xl74"/>
    <w:basedOn w:val="140"/>
    <w:uiPriority w:val="0"/>
    <w:pPr>
      <w:pBdr>
        <w:bottom w:val="single" w:color="auto" w:sz="4" w:space="0"/>
        <w:right w:val="single" w:color="auto" w:sz="4" w:space="0"/>
      </w:pBdr>
    </w:pPr>
  </w:style>
  <w:style w:type="paragraph" w:customStyle="1" w:styleId="154">
    <w:name w:val="xl73"/>
    <w:basedOn w:val="140"/>
    <w:autoRedefine/>
    <w:uiPriority w:val="0"/>
    <w:pPr>
      <w:pBdr>
        <w:top w:val="single" w:color="auto" w:sz="4" w:space="0"/>
        <w:bottom w:val="single" w:color="auto" w:sz="4" w:space="0"/>
        <w:right w:val="single" w:color="auto" w:sz="4" w:space="0"/>
      </w:pBdr>
    </w:pPr>
  </w:style>
  <w:style w:type="paragraph" w:customStyle="1" w:styleId="155">
    <w:name w:val="xl72"/>
    <w:basedOn w:val="140"/>
    <w:autoRedefine/>
    <w:qFormat/>
    <w:uiPriority w:val="0"/>
    <w:pPr>
      <w:pBdr>
        <w:left w:val="single" w:color="auto" w:sz="4" w:space="0"/>
        <w:bottom w:val="single" w:color="auto" w:sz="4" w:space="0"/>
        <w:right w:val="single" w:color="auto" w:sz="4" w:space="0"/>
      </w:pBdr>
      <w:jc w:val="center"/>
    </w:pPr>
  </w:style>
  <w:style w:type="paragraph" w:customStyle="1" w:styleId="156">
    <w:name w:val="xl71"/>
    <w:basedOn w:val="140"/>
    <w:uiPriority w:val="0"/>
    <w:pPr>
      <w:pBdr>
        <w:top w:val="single" w:color="auto" w:sz="4" w:space="0"/>
        <w:bottom w:val="single" w:color="auto" w:sz="4" w:space="0"/>
        <w:right w:val="single" w:color="auto" w:sz="4" w:space="0"/>
      </w:pBdr>
      <w:jc w:val="both"/>
    </w:pPr>
  </w:style>
  <w:style w:type="paragraph" w:customStyle="1" w:styleId="157">
    <w:name w:val="xl70"/>
    <w:basedOn w:val="140"/>
    <w:autoRedefine/>
    <w:uiPriority w:val="0"/>
    <w:pPr>
      <w:pBdr>
        <w:bottom w:val="single" w:color="auto" w:sz="4" w:space="0"/>
        <w:right w:val="single" w:color="auto" w:sz="4" w:space="0"/>
      </w:pBdr>
      <w:jc w:val="both"/>
    </w:pPr>
  </w:style>
  <w:style w:type="paragraph" w:customStyle="1" w:styleId="158">
    <w:name w:val="xl69"/>
    <w:basedOn w:val="140"/>
    <w:autoRedefine/>
    <w:uiPriority w:val="0"/>
    <w:pPr>
      <w:pBdr>
        <w:bottom w:val="single" w:color="auto" w:sz="4" w:space="0"/>
        <w:right w:val="single" w:color="auto" w:sz="4" w:space="0"/>
      </w:pBdr>
      <w:jc w:val="center"/>
    </w:pPr>
  </w:style>
  <w:style w:type="paragraph" w:customStyle="1" w:styleId="159">
    <w:name w:val="xl68"/>
    <w:basedOn w:val="140"/>
    <w:uiPriority w:val="0"/>
    <w:pPr>
      <w:pBdr>
        <w:top w:val="single" w:color="auto" w:sz="4" w:space="0"/>
        <w:bottom w:val="single" w:color="auto" w:sz="4" w:space="0"/>
        <w:right w:val="single" w:color="auto" w:sz="4" w:space="0"/>
      </w:pBdr>
      <w:jc w:val="center"/>
    </w:pPr>
  </w:style>
  <w:style w:type="paragraph" w:customStyle="1" w:styleId="160">
    <w:name w:val="xl67"/>
    <w:basedOn w:val="140"/>
    <w:uiPriority w:val="0"/>
    <w:pPr>
      <w:pBdr>
        <w:top w:val="single" w:color="auto" w:sz="4" w:space="0"/>
        <w:left w:val="single" w:color="auto" w:sz="4" w:space="0"/>
        <w:bottom w:val="single" w:color="auto" w:sz="4" w:space="0"/>
        <w:right w:val="single" w:color="auto" w:sz="4" w:space="0"/>
      </w:pBdr>
      <w:jc w:val="center"/>
    </w:pPr>
  </w:style>
  <w:style w:type="paragraph" w:customStyle="1" w:styleId="161">
    <w:name w:val="xl66"/>
    <w:basedOn w:val="140"/>
    <w:autoRedefine/>
    <w:uiPriority w:val="0"/>
    <w:pPr>
      <w:jc w:val="center"/>
    </w:pPr>
    <w:rPr>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3449</Words>
  <Characters>19663</Characters>
  <Lines>163</Lines>
  <Paragraphs>46</Paragraphs>
  <TotalTime>83</TotalTime>
  <ScaleCrop>false</ScaleCrop>
  <LinksUpToDate>false</LinksUpToDate>
  <CharactersWithSpaces>23066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2024-02-14T00:58:00Z</dcterms:created>
  <dc:creator>MP</dc:creator>
  <cp:lastModifiedBy>聪</cp:lastModifiedBy>
  <dcterms:modified xsi:type="dcterms:W3CDTF">2024-04-26T08:05:45Z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C7DEE046F7AE434B824344BE1E1592E5_13</vt:lpwstr>
  </property>
  <property fmtid="{D5CDD505-2E9C-101B-9397-08002B2CF9AE}" pid="3" name="KSOProductBuildVer">
    <vt:lpwstr>2052-12.1.0.16729</vt:lpwstr>
  </property>
</Properties>
</file>