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i w:val="0"/>
          <w:iCs w:val="0"/>
          <w:caps w:val="0"/>
          <w:color w:val="DF3A39"/>
          <w:spacing w:val="0"/>
          <w:sz w:val="36"/>
          <w:szCs w:val="36"/>
        </w:rPr>
      </w:pPr>
      <w:bookmarkStart w:id="0" w:name="_GoBack"/>
      <w:r>
        <w:rPr>
          <w:rFonts w:hint="eastAsia" w:ascii="微软雅黑" w:hAnsi="微软雅黑" w:eastAsia="微软雅黑" w:cs="微软雅黑"/>
          <w:i w:val="0"/>
          <w:iCs w:val="0"/>
          <w:caps w:val="0"/>
          <w:color w:val="DF3A39"/>
          <w:spacing w:val="0"/>
          <w:sz w:val="36"/>
          <w:szCs w:val="36"/>
          <w:bdr w:val="none" w:color="auto" w:sz="0" w:space="0"/>
          <w:shd w:val="clear" w:fill="FFFFFF"/>
        </w:rPr>
        <w:t>市场监管系统经营主体登记信息变更相关事项“证照联办”指引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ascii="仿宋_GB2312" w:hAnsi="微软雅黑" w:eastAsia="仿宋_GB2312" w:cs="仿宋_GB2312"/>
          <w:i w:val="0"/>
          <w:iCs w:val="0"/>
          <w:caps w:val="0"/>
          <w:color w:val="666666"/>
          <w:spacing w:val="0"/>
          <w:sz w:val="30"/>
          <w:szCs w:val="30"/>
          <w:bdr w:val="none" w:color="auto" w:sz="0" w:space="0"/>
          <w:shd w:val="clear" w:fill="FFFFFF"/>
        </w:rPr>
        <w:t>为落实《国务院关于进一步优化政务服务提升行政效能推动“高效办成一件事”的指导意见》（国发〔2024〕3号），江门市市场监管局自2024年6月1日在全市推行登记信息变更事项“证照联办”。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一、适用对象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在江门市全市区域设立登记并取得市场监管部门相关许可的各类经营主体。营业执照载明的主体名称、法定代表人(经营者、负责人)、住所（经营场所）等信息经核准变更，生产经营条件未发生实质变化，不需要现场核查或技术审查的相关许可变更实行免申联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二、实施事项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联办事项和项目实行动态调整并公开，具体详见《“证照联办”政务服务事项目录》。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“证照联办”政务服务事项目录</w:t>
      </w:r>
    </w:p>
    <w:tbl>
      <w:tblPr>
        <w:tblW w:w="9699"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1163"/>
        <w:gridCol w:w="2226"/>
        <w:gridCol w:w="1669"/>
        <w:gridCol w:w="464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742"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序号</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事项名称</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实施层级</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联办项目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1915"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1</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食品生产许可</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市、县（区）</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经营主体名称、统一社会信用代码、法定代表人（负责人）、住所（经营场所）（实际生产经营场所、条件未发生变化）</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1915"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2</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食品经营许可</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县（区）</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经营主体名称、统一社会信用代码、法定代表人（负责人）、住所（经营场所）（实际生产经营场所、条件未发生变化）</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1328"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3</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医疗器械经营许可</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县（区）（市级委托）</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1328"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4</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药品经营许可（零售）</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县（区）</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915"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5</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气瓶、移动式压力容器充装单位许可</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市</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经营主体名称、统一社会信用代码、住所（经营场所）（实际生产经营场所、条件未发生变化）</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929" w:hRule="atLeast"/>
        </w:trPr>
        <w:tc>
          <w:tcPr>
            <w:tcW w:w="1163"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6</w:t>
            </w:r>
          </w:p>
        </w:tc>
        <w:tc>
          <w:tcPr>
            <w:tcW w:w="2226"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特种设备使用登记</w:t>
            </w:r>
          </w:p>
        </w:tc>
        <w:tc>
          <w:tcPr>
            <w:tcW w:w="1669"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县（区）</w:t>
            </w:r>
          </w:p>
        </w:tc>
        <w:tc>
          <w:tcPr>
            <w:tcW w:w="4641" w:type="dxa"/>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经营主体名称、统一社会信用代码、住所（经营场所）（实际生产经营场所、条件未发生变化）</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仿宋_GB2312" w:hAnsi="微软雅黑" w:eastAsia="仿宋_GB2312" w:cs="仿宋_GB2312"/>
          <w:i w:val="0"/>
          <w:iCs w:val="0"/>
          <w:caps w:val="0"/>
          <w:color w:val="666666"/>
          <w:spacing w:val="0"/>
          <w:sz w:val="30"/>
          <w:szCs w:val="30"/>
          <w:bdr w:val="none" w:color="auto" w:sz="0" w:space="0"/>
          <w:shd w:val="clear" w:fill="FFFFFF"/>
        </w:rPr>
        <w:t>　　三、办理流程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drawing>
          <wp:inline distT="0" distB="0" distL="114300" distR="114300">
            <wp:extent cx="6543675" cy="55245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543675" cy="55245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left"/>
        <w:rPr>
          <w:rFonts w:hint="eastAsia" w:ascii="微软雅黑" w:hAnsi="微软雅黑" w:eastAsia="微软雅黑" w:cs="微软雅黑"/>
        </w:rPr>
      </w:pPr>
      <w:r>
        <w:rPr>
          <w:rFonts w:hint="eastAsia" w:ascii="仿宋_GB2312" w:hAnsi="微软雅黑" w:eastAsia="仿宋_GB2312" w:cs="仿宋_GB2312"/>
          <w:i w:val="0"/>
          <w:iCs w:val="0"/>
          <w:caps w:val="0"/>
          <w:color w:val="666666"/>
          <w:spacing w:val="0"/>
          <w:sz w:val="30"/>
          <w:szCs w:val="30"/>
          <w:bdr w:val="none" w:color="auto" w:sz="0" w:space="0"/>
          <w:shd w:val="clear" w:fill="FFFFFF"/>
        </w:rPr>
        <w:t>四、办事地点</w:t>
      </w:r>
    </w:p>
    <w:tbl>
      <w:tblPr>
        <w:tblW w:w="87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2"/>
        <w:gridCol w:w="4793"/>
        <w:gridCol w:w="2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00" w:type="dxa"/>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区域</w:t>
            </w:r>
          </w:p>
        </w:tc>
        <w:tc>
          <w:tcPr>
            <w:tcW w:w="4785"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地址</w:t>
            </w:r>
          </w:p>
        </w:tc>
        <w:tc>
          <w:tcPr>
            <w:tcW w:w="2760"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Style w:val="6"/>
                <w:rFonts w:hint="eastAsia" w:ascii="仿宋_GB2312" w:hAnsi="微软雅黑" w:eastAsia="仿宋_GB2312" w:cs="仿宋_GB2312"/>
                <w:sz w:val="30"/>
                <w:szCs w:val="30"/>
                <w:bdr w:val="none" w:color="auto" w:sz="0" w:space="0"/>
              </w:rPr>
              <w:t>咨询电话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蓬江区</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江门市蓬江区丰乐大道10号天悦星院10号楼二楼</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3833039、3833038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江海区</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江门市江海区金瓯路288号</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3861670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新会区</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江门市新会区振兴二路73号</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6297106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台山市</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台山市台城德政路58号</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5563829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开平市</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开平市长沙东兴大道爱民路2号</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2208216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鹤山市</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鹤山市沙坪街道人民路35号行政服务中心</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8933863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恩平市</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恩平市恩城广青街市行政服务中心大楼二楼71号窗口</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7826166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江门市</w:t>
            </w:r>
          </w:p>
        </w:tc>
        <w:tc>
          <w:tcPr>
            <w:tcW w:w="478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江门市蓬江区堤西路88号</w:t>
            </w:r>
          </w:p>
        </w:tc>
        <w:tc>
          <w:tcPr>
            <w:tcW w:w="2760"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left"/>
              <w:rPr>
                <w:rFonts w:hint="eastAsia" w:ascii="微软雅黑" w:hAnsi="微软雅黑" w:eastAsia="微软雅黑" w:cs="微软雅黑"/>
              </w:rPr>
            </w:pPr>
            <w:r>
              <w:rPr>
                <w:rFonts w:hint="eastAsia" w:ascii="仿宋_GB2312" w:hAnsi="微软雅黑" w:eastAsia="仿宋_GB2312" w:cs="仿宋_GB2312"/>
                <w:sz w:val="30"/>
                <w:szCs w:val="30"/>
                <w:bdr w:val="none" w:color="auto" w:sz="0" w:space="0"/>
              </w:rPr>
              <w:t>3871047、3871058</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032E1"/>
    <w:rsid w:val="46703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794</Words>
  <Characters>869</Characters>
  <Lines>0</Lines>
  <Paragraphs>0</Paragraphs>
  <TotalTime>0</TotalTime>
  <ScaleCrop>false</ScaleCrop>
  <LinksUpToDate>false</LinksUpToDate>
  <CharactersWithSpaces>883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2024-05-27T03:13:00Z</dcterms:created>
  <dc:creator>Administrator</dc:creator>
  <cp:lastModifiedBy>Administrator</cp:lastModifiedBy>
  <dcterms:modified xsi:type="dcterms:W3CDTF">2024-05-27T03:14:35Z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37060A82DC994DD39ED5C9F2A4D1675A</vt:lpwstr>
  </property>
</Properties>
</file>