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ascii="微软雅黑" w:hAnsi="微软雅黑" w:eastAsia="微软雅黑" w:cs="微软雅黑"/>
          <w:i w:val="0"/>
          <w:iCs w:val="0"/>
          <w:caps w:val="0"/>
          <w:color w:val="DF3A39"/>
          <w:spacing w:val="0"/>
          <w:sz w:val="36"/>
          <w:szCs w:val="36"/>
        </w:rPr>
      </w:pPr>
      <w:r>
        <w:rPr>
          <w:rFonts w:hint="eastAsia" w:ascii="微软雅黑" w:hAnsi="微软雅黑" w:eastAsia="微软雅黑" w:cs="微软雅黑"/>
          <w:i w:val="0"/>
          <w:iCs w:val="0"/>
          <w:caps w:val="0"/>
          <w:color w:val="DF3A39"/>
          <w:spacing w:val="0"/>
          <w:sz w:val="36"/>
          <w:szCs w:val="36"/>
          <w:bdr w:val="none" w:color="auto" w:sz="0" w:space="0"/>
          <w:shd w:val="clear" w:fill="FFFFFF"/>
        </w:rPr>
        <w:t>一网通办单位开户登记指引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访问系统地址：</w:t>
      </w:r>
      <w:r>
        <w:rPr>
          <w:rFonts w:hint="eastAsia" w:ascii="微软雅黑" w:hAnsi="微软雅黑" w:eastAsia="微软雅黑" w:cs="微软雅黑"/>
          <w:i w:val="0"/>
          <w:iCs w:val="0"/>
          <w:caps w:val="0"/>
          <w:color w:val="000000"/>
          <w:spacing w:val="0"/>
          <w:sz w:val="27"/>
          <w:szCs w:val="27"/>
          <w:u w:val="single"/>
          <w:bdr w:val="none" w:color="auto" w:sz="0" w:space="0"/>
          <w:shd w:val="clear" w:fill="FFFFFF"/>
        </w:rPr>
        <w:fldChar w:fldCharType="begin"/>
      </w:r>
      <w:r>
        <w:rPr>
          <w:rFonts w:hint="eastAsia" w:ascii="微软雅黑" w:hAnsi="微软雅黑" w:eastAsia="微软雅黑" w:cs="微软雅黑"/>
          <w:i w:val="0"/>
          <w:iCs w:val="0"/>
          <w:caps w:val="0"/>
          <w:color w:val="000000"/>
          <w:spacing w:val="0"/>
          <w:sz w:val="27"/>
          <w:szCs w:val="27"/>
          <w:u w:val="single"/>
          <w:bdr w:val="none" w:color="auto" w:sz="0" w:space="0"/>
          <w:shd w:val="clear" w:fill="FFFFFF"/>
        </w:rPr>
        <w:instrText xml:space="preserve"> HYPERLINK "http://qykb.gdzwfw.gov.cn/qcdzhdj/" </w:instrText>
      </w:r>
      <w:r>
        <w:rPr>
          <w:rFonts w:hint="eastAsia" w:ascii="微软雅黑" w:hAnsi="微软雅黑" w:eastAsia="微软雅黑" w:cs="微软雅黑"/>
          <w:i w:val="0"/>
          <w:iCs w:val="0"/>
          <w:caps w:val="0"/>
          <w:color w:val="000000"/>
          <w:spacing w:val="0"/>
          <w:sz w:val="27"/>
          <w:szCs w:val="27"/>
          <w:u w:val="single"/>
          <w:bdr w:val="none" w:color="auto" w:sz="0" w:space="0"/>
          <w:shd w:val="clear" w:fill="FFFFFF"/>
        </w:rPr>
        <w:fldChar w:fldCharType="separate"/>
      </w:r>
      <w:r>
        <w:rPr>
          <w:rStyle w:val="7"/>
          <w:rFonts w:hint="eastAsia" w:ascii="微软雅黑" w:hAnsi="微软雅黑" w:eastAsia="微软雅黑" w:cs="微软雅黑"/>
          <w:i w:val="0"/>
          <w:iCs w:val="0"/>
          <w:caps w:val="0"/>
          <w:color w:val="000000"/>
          <w:spacing w:val="0"/>
          <w:sz w:val="27"/>
          <w:szCs w:val="27"/>
          <w:u w:val="single"/>
          <w:bdr w:val="none" w:color="auto" w:sz="0" w:space="0"/>
          <w:shd w:val="clear" w:fill="FFFFFF"/>
        </w:rPr>
        <w:t>http://qykb.gdzwfw.gov.cn/qcdzhdj/</w:t>
      </w:r>
      <w:r>
        <w:rPr>
          <w:rFonts w:hint="eastAsia" w:ascii="微软雅黑" w:hAnsi="微软雅黑" w:eastAsia="微软雅黑" w:cs="微软雅黑"/>
          <w:i w:val="0"/>
          <w:iCs w:val="0"/>
          <w:caps w:val="0"/>
          <w:color w:val="000000"/>
          <w:spacing w:val="0"/>
          <w:sz w:val="27"/>
          <w:szCs w:val="27"/>
          <w:u w:val="single"/>
          <w:bdr w:val="none" w:color="auto" w:sz="0" w:space="0"/>
          <w:shd w:val="clear" w:fill="FFFFFF"/>
        </w:rPr>
        <w:fldChar w:fldCharType="end"/>
      </w:r>
      <w:r>
        <w:rPr>
          <w:rFonts w:hint="eastAsia" w:ascii="微软雅黑" w:hAnsi="微软雅黑" w:eastAsia="微软雅黑" w:cs="微软雅黑"/>
          <w:i w:val="0"/>
          <w:iCs w:val="0"/>
          <w:caps w:val="0"/>
          <w:color w:val="000000"/>
          <w:spacing w:val="0"/>
          <w:sz w:val="27"/>
          <w:szCs w:val="27"/>
          <w:bdr w:val="none" w:color="auto" w:sz="0" w:space="0"/>
          <w:shd w:val="clear" w:fill="FFFFFF"/>
        </w:rPr>
        <w:t>；或通过广东省政务服务网点击“企业开办一网通办”专题也可以进入到系统，分新办企业和已有企业两种情况。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r>
        <w:rPr>
          <w:rStyle w:val="6"/>
          <w:rFonts w:hint="eastAsia" w:ascii="微软雅黑" w:hAnsi="微软雅黑" w:eastAsia="微软雅黑" w:cs="微软雅黑"/>
          <w:i w:val="0"/>
          <w:iCs w:val="0"/>
          <w:caps w:val="0"/>
          <w:color w:val="000000"/>
          <w:spacing w:val="0"/>
          <w:sz w:val="27"/>
          <w:szCs w:val="27"/>
          <w:bdr w:val="none" w:color="auto" w:sz="0" w:space="0"/>
          <w:shd w:val="clear" w:fill="FFFFFF"/>
        </w:rPr>
        <w:t>      1.新办企业：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(1)点击系统中的“我要新办企业”，选择企业所在地市。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drawing>
          <wp:inline distT="0" distB="0" distL="114300" distR="114300">
            <wp:extent cx="5276850" cy="27717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276850" cy="27717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(2) 新办企业在办理企业设立登记的同时，可选择同步办理公积金单位缴存登记，填写基本信息和经办人信息。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drawing>
          <wp:inline distT="0" distB="0" distL="114300" distR="114300">
            <wp:extent cx="4772025" cy="3123565"/>
            <wp:effectExtent l="0" t="0" r="9525" b="63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4772025" cy="312356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bookmarkStart w:id="0" w:name="_GoBack"/>
      <w:r>
        <w:rPr>
          <w:rFonts w:hint="eastAsia" w:ascii="微软雅黑" w:hAnsi="微软雅黑" w:eastAsia="微软雅黑" w:cs="微软雅黑"/>
          <w:i w:val="0"/>
          <w:iCs w:val="0"/>
          <w:caps w:val="0"/>
          <w:color w:val="666666"/>
          <w:spacing w:val="0"/>
          <w:sz w:val="22"/>
          <w:szCs w:val="22"/>
          <w:bdr w:val="none" w:color="auto" w:sz="0" w:space="0"/>
          <w:shd w:val="clear" w:fill="FFFFFF"/>
        </w:rPr>
        <w:drawing>
          <wp:inline distT="0" distB="0" distL="114300" distR="114300">
            <wp:extent cx="5029200" cy="3896360"/>
            <wp:effectExtent l="0" t="0" r="0" b="889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029200" cy="3896360"/>
                    </a:xfrm>
                    <a:prstGeom prst="rect">
                      <a:avLst/>
                    </a:prstGeom>
                    <a:noFill/>
                    <a:ln w="9525">
                      <a:noFill/>
                    </a:ln>
                  </pic:spPr>
                </pic:pic>
              </a:graphicData>
            </a:graphic>
          </wp:inline>
        </w:drawing>
      </w:r>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rPr>
          <w:rFonts w:hint="eastAsia" w:ascii="微软雅黑" w:hAnsi="微软雅黑" w:eastAsia="微软雅黑" w:cs="微软雅黑"/>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(3)待企业登记核准通过后，自动完成公积金单位缴存登记。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r>
        <w:rPr>
          <w:rStyle w:val="6"/>
          <w:rFonts w:hint="eastAsia" w:ascii="微软雅黑" w:hAnsi="微软雅黑" w:eastAsia="微软雅黑" w:cs="微软雅黑"/>
          <w:i w:val="0"/>
          <w:iCs w:val="0"/>
          <w:caps w:val="0"/>
          <w:color w:val="000000"/>
          <w:spacing w:val="0"/>
          <w:sz w:val="27"/>
          <w:szCs w:val="27"/>
          <w:bdr w:val="none" w:color="auto" w:sz="0" w:space="0"/>
          <w:shd w:val="clear" w:fill="FFFFFF"/>
        </w:rPr>
        <w:t>      2.已有企业：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对于已领取营业执照的企业可以在线上办理公积金单位缴存登记的申请。点击系统中的“我已有企业” ，填写基本信息和经办人信息，自动完成公积金单位缴存登记。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drawing>
          <wp:inline distT="0" distB="0" distL="114300" distR="114300">
            <wp:extent cx="6076950" cy="2600325"/>
            <wp:effectExtent l="0" t="0" r="0"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6076950" cy="2600325"/>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socialshar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56308"/>
    <w:rsid w:val="790563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254</Words>
  <Characters>295</Characters>
  <Lines>0</Lines>
  <Paragraphs>0</Paragraphs>
  <TotalTime>1</TotalTime>
  <ScaleCrop>false</ScaleCrop>
  <LinksUpToDate>false</LinksUpToDate>
  <CharactersWithSpaces>340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2024-05-29T03:53:00Z</dcterms:created>
  <dc:creator>Administrator</dc:creator>
  <cp:lastModifiedBy>Administrator</cp:lastModifiedBy>
  <dcterms:modified xsi:type="dcterms:W3CDTF">2024-05-29T03:54:22Z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0E5F3A9653494B46A14EC96063ABC148</vt:lpwstr>
  </property>
</Properties>
</file>