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jc w:val="left"/>
        <w:textAlignment w:val="auto"/>
        <w:rPr>
          <w:rFonts w:hint="default" w:ascii="仿宋_GB2312" w:hAnsi="仿宋_GB2312" w:eastAsia="仿宋_GB2312" w:cs="仿宋_GB2312"/>
          <w:b w:val="0"/>
          <w:bCs/>
          <w:color w:val="000000"/>
          <w:sz w:val="32"/>
          <w:szCs w:val="32"/>
          <w:lang w:val="en-US" w:eastAsia="zh-CN"/>
        </w:rPr>
      </w:pPr>
      <w:r>
        <w:rPr>
          <w:rFonts w:hint="eastAsia" w:ascii="仿宋_GB2312" w:hAnsi="仿宋_GB2312" w:eastAsia="仿宋_GB2312" w:cs="仿宋_GB2312"/>
          <w:b w:val="0"/>
          <w:bCs/>
          <w:color w:val="000000"/>
          <w:sz w:val="32"/>
          <w:szCs w:val="32"/>
          <w:lang w:val="zh-TW" w:eastAsia="zh-CN"/>
        </w:rPr>
        <w:t>附件</w:t>
      </w:r>
      <w:r>
        <w:rPr>
          <w:rFonts w:hint="default" w:ascii="仿宋_GB2312" w:hAnsi="仿宋_GB2312" w:eastAsia="仿宋_GB2312" w:cs="仿宋_GB2312"/>
          <w:b w:val="0"/>
          <w:bCs/>
          <w:color w:val="000000"/>
          <w:sz w:val="32"/>
          <w:szCs w:val="32"/>
          <w:lang w:val="en-US" w:eastAsia="zh-CN"/>
        </w:rPr>
        <w:t>:</w:t>
      </w: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color w:val="000000"/>
          <w:sz w:val="44"/>
          <w:szCs w:val="44"/>
          <w:lang w:val="zh-TW"/>
        </w:rPr>
      </w:pPr>
    </w:p>
    <w:p>
      <w:pPr>
        <w:keepNext w:val="0"/>
        <w:keepLines w:val="0"/>
        <w:pageBreakBefore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kern w:val="0"/>
          <w:sz w:val="28"/>
          <w:szCs w:val="28"/>
          <w:lang w:val="en-US" w:eastAsia="zh-CN"/>
        </w:rPr>
      </w:pPr>
      <w:bookmarkStart w:id="0" w:name="_GoBack"/>
      <w:r>
        <w:rPr>
          <w:rFonts w:hint="eastAsia" w:ascii="方正小标宋简体" w:hAnsi="方正小标宋简体" w:eastAsia="方正小标宋简体" w:cs="方正小标宋简体"/>
          <w:b w:val="0"/>
          <w:bCs/>
          <w:color w:val="000000"/>
          <w:sz w:val="44"/>
          <w:szCs w:val="44"/>
          <w:lang w:val="zh-TW"/>
        </w:rPr>
        <w:t>台山市医疗保障局城乡居民基本医疗保险政策线下宣传项目采购服务评分表</w:t>
      </w:r>
    </w:p>
    <w:bookmarkEnd w:id="0"/>
    <w:p>
      <w:pPr>
        <w:keepNext w:val="0"/>
        <w:keepLines w:val="0"/>
        <w:pageBreakBefore w:val="0"/>
        <w:widowControl w:val="0"/>
        <w:kinsoku/>
        <w:wordWrap/>
        <w:overflowPunct/>
        <w:topLinePunct w:val="0"/>
        <w:autoSpaceDE/>
        <w:autoSpaceDN/>
        <w:bidi w:val="0"/>
        <w:adjustRightInd/>
        <w:snapToGrid/>
        <w:spacing w:line="600" w:lineRule="exact"/>
        <w:jc w:val="left"/>
        <w:textAlignment w:val="auto"/>
        <w:rPr>
          <w:rFonts w:hint="eastAsia" w:ascii="仿宋_GB2312" w:hAnsi="仿宋_GB2312" w:eastAsia="仿宋_GB2312" w:cs="仿宋_GB2312"/>
          <w:b/>
          <w:color w:val="000000"/>
          <w:sz w:val="24"/>
          <w:szCs w:val="24"/>
          <w:lang w:val="zh-TW"/>
        </w:rPr>
      </w:pPr>
      <w:r>
        <w:rPr>
          <w:rFonts w:hint="eastAsia" w:ascii="仿宋_GB2312" w:hAnsi="仿宋_GB2312" w:eastAsia="仿宋_GB2312" w:cs="仿宋_GB2312"/>
          <w:kern w:val="0"/>
          <w:sz w:val="24"/>
          <w:szCs w:val="24"/>
          <w:lang w:val="en-US" w:eastAsia="zh-CN"/>
        </w:rPr>
        <w:t xml:space="preserve">                                                       </w:t>
      </w:r>
    </w:p>
    <w:tbl>
      <w:tblPr>
        <w:tblStyle w:val="3"/>
        <w:tblW w:w="87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4"/>
        <w:gridCol w:w="1245"/>
        <w:gridCol w:w="1200"/>
        <w:gridCol w:w="4644"/>
        <w:gridCol w:w="9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blHeader/>
          <w:jc w:val="center"/>
        </w:trPr>
        <w:tc>
          <w:tcPr>
            <w:tcW w:w="754"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color w:val="000000"/>
                <w:kern w:val="0"/>
                <w:sz w:val="24"/>
                <w:szCs w:val="24"/>
              </w:rPr>
            </w:pPr>
            <w:r>
              <w:rPr>
                <w:rFonts w:hint="eastAsia" w:ascii="仿宋_GB2312" w:hAnsi="仿宋_GB2312" w:eastAsia="仿宋_GB2312" w:cs="仿宋_GB2312"/>
                <w:b/>
                <w:bCs/>
                <w:color w:val="000000"/>
                <w:kern w:val="0"/>
                <w:sz w:val="24"/>
                <w:szCs w:val="24"/>
              </w:rPr>
              <w:t>序号</w:t>
            </w:r>
          </w:p>
        </w:tc>
        <w:tc>
          <w:tcPr>
            <w:tcW w:w="1245"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color w:val="000000"/>
                <w:kern w:val="0"/>
                <w:sz w:val="24"/>
                <w:szCs w:val="24"/>
              </w:rPr>
            </w:pPr>
            <w:r>
              <w:rPr>
                <w:rFonts w:hint="eastAsia" w:ascii="仿宋_GB2312" w:hAnsi="仿宋_GB2312" w:eastAsia="仿宋_GB2312" w:cs="仿宋_GB2312"/>
                <w:b/>
                <w:bCs/>
                <w:color w:val="000000"/>
                <w:kern w:val="0"/>
                <w:sz w:val="24"/>
                <w:szCs w:val="24"/>
              </w:rPr>
              <w:t>评审项</w:t>
            </w:r>
          </w:p>
        </w:tc>
        <w:tc>
          <w:tcPr>
            <w:tcW w:w="1200"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color w:val="000000"/>
                <w:kern w:val="0"/>
                <w:sz w:val="24"/>
                <w:szCs w:val="24"/>
              </w:rPr>
            </w:pPr>
            <w:r>
              <w:rPr>
                <w:rFonts w:hint="eastAsia" w:ascii="仿宋_GB2312" w:hAnsi="仿宋_GB2312" w:eastAsia="仿宋_GB2312" w:cs="仿宋_GB2312"/>
                <w:b/>
                <w:bCs/>
                <w:color w:val="000000"/>
                <w:kern w:val="0"/>
                <w:sz w:val="24"/>
                <w:szCs w:val="24"/>
              </w:rPr>
              <w:t>评审分项</w:t>
            </w:r>
          </w:p>
        </w:tc>
        <w:tc>
          <w:tcPr>
            <w:tcW w:w="4644"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color w:val="000000"/>
                <w:kern w:val="0"/>
                <w:sz w:val="24"/>
                <w:szCs w:val="24"/>
              </w:rPr>
            </w:pPr>
            <w:r>
              <w:rPr>
                <w:rFonts w:hint="eastAsia" w:ascii="仿宋_GB2312" w:hAnsi="仿宋_GB2312" w:eastAsia="仿宋_GB2312" w:cs="仿宋_GB2312"/>
                <w:b/>
                <w:bCs/>
                <w:color w:val="000000"/>
                <w:kern w:val="0"/>
                <w:sz w:val="24"/>
                <w:szCs w:val="24"/>
              </w:rPr>
              <w:t>评分标准</w:t>
            </w:r>
          </w:p>
        </w:tc>
        <w:tc>
          <w:tcPr>
            <w:tcW w:w="935"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color w:val="000000"/>
                <w:kern w:val="0"/>
                <w:sz w:val="24"/>
                <w:szCs w:val="24"/>
              </w:rPr>
            </w:pPr>
            <w:r>
              <w:rPr>
                <w:rFonts w:hint="eastAsia" w:ascii="仿宋_GB2312" w:hAnsi="仿宋_GB2312" w:eastAsia="仿宋_GB2312" w:cs="仿宋_GB2312"/>
                <w:b/>
                <w:bCs/>
                <w:color w:val="000000"/>
                <w:kern w:val="0"/>
                <w:sz w:val="24"/>
                <w:szCs w:val="24"/>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exact"/>
          <w:jc w:val="center"/>
        </w:trPr>
        <w:tc>
          <w:tcPr>
            <w:tcW w:w="754"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sz w:val="24"/>
                <w:szCs w:val="24"/>
              </w:rPr>
              <w:t>1</w:t>
            </w:r>
          </w:p>
        </w:tc>
        <w:tc>
          <w:tcPr>
            <w:tcW w:w="1245"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sz w:val="24"/>
                <w:szCs w:val="24"/>
              </w:rPr>
              <w:t>价格部分（</w:t>
            </w:r>
            <w:r>
              <w:rPr>
                <w:rFonts w:hint="eastAsia" w:ascii="仿宋_GB2312" w:hAnsi="仿宋_GB2312" w:eastAsia="仿宋_GB2312" w:cs="仿宋_GB2312"/>
                <w:color w:val="auto"/>
                <w:sz w:val="24"/>
                <w:szCs w:val="24"/>
                <w:lang w:val="en-US" w:eastAsia="zh-CN"/>
              </w:rPr>
              <w:t>3</w:t>
            </w:r>
            <w:r>
              <w:rPr>
                <w:rFonts w:hint="eastAsia" w:ascii="仿宋_GB2312" w:hAnsi="仿宋_GB2312" w:eastAsia="仿宋_GB2312" w:cs="仿宋_GB2312"/>
                <w:color w:val="auto"/>
                <w:sz w:val="24"/>
                <w:szCs w:val="24"/>
              </w:rPr>
              <w:t>0分）</w:t>
            </w:r>
          </w:p>
        </w:tc>
        <w:tc>
          <w:tcPr>
            <w:tcW w:w="1200"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价格评定</w:t>
            </w:r>
          </w:p>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sz w:val="24"/>
                <w:szCs w:val="24"/>
              </w:rPr>
              <w:t>（</w:t>
            </w:r>
            <w:r>
              <w:rPr>
                <w:rFonts w:hint="eastAsia" w:ascii="仿宋_GB2312" w:hAnsi="仿宋_GB2312" w:eastAsia="仿宋_GB2312" w:cs="仿宋_GB2312"/>
                <w:color w:val="auto"/>
                <w:sz w:val="24"/>
                <w:szCs w:val="24"/>
                <w:lang w:val="en-US" w:eastAsia="zh-CN"/>
              </w:rPr>
              <w:t>3</w:t>
            </w:r>
            <w:r>
              <w:rPr>
                <w:rFonts w:hint="eastAsia" w:ascii="仿宋_GB2312" w:hAnsi="仿宋_GB2312" w:eastAsia="仿宋_GB2312" w:cs="仿宋_GB2312"/>
                <w:color w:val="auto"/>
                <w:sz w:val="24"/>
                <w:szCs w:val="24"/>
              </w:rPr>
              <w:t>0分）</w:t>
            </w:r>
          </w:p>
        </w:tc>
        <w:tc>
          <w:tcPr>
            <w:tcW w:w="4644" w:type="dxa"/>
            <w:shd w:val="clear" w:color="auto" w:fill="auto"/>
            <w:noWrap w:val="0"/>
            <w:vAlign w:val="center"/>
          </w:tcPr>
          <w:p>
            <w:pPr>
              <w:keepNext w:val="0"/>
              <w:keepLines w:val="0"/>
              <w:widowControl/>
              <w:suppressLineNumbers w:val="0"/>
              <w:jc w:val="left"/>
              <w:textAlignment w:val="center"/>
              <w:rPr>
                <w:rFonts w:hint="eastAsia" w:ascii="宋体" w:hAnsi="宋体" w:eastAsia="宋体" w:cs="宋体"/>
                <w:i w:val="0"/>
                <w:iCs w:val="0"/>
                <w:color w:val="auto"/>
                <w:kern w:val="2"/>
                <w:sz w:val="22"/>
                <w:szCs w:val="22"/>
                <w:u w:val="none"/>
                <w:lang w:val="en-US" w:eastAsia="zh-CN" w:bidi="ar-SA"/>
              </w:rPr>
            </w:pPr>
            <w:r>
              <w:rPr>
                <w:rFonts w:hint="eastAsia" w:ascii="仿宋_GB2312" w:hAnsi="仿宋_GB2312" w:eastAsia="仿宋_GB2312" w:cs="仿宋_GB2312"/>
                <w:color w:val="auto"/>
                <w:sz w:val="24"/>
                <w:szCs w:val="24"/>
                <w:lang w:val="en-US" w:eastAsia="zh-CN"/>
              </w:rPr>
              <w:t>以所有合格投标单位评标价的最低价作为评分基准价。投标单位的价格分按下式计算：价格分=（评分基准价/评标价）×30</w:t>
            </w:r>
          </w:p>
        </w:tc>
        <w:tc>
          <w:tcPr>
            <w:tcW w:w="935"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hAnsi="仿宋_GB2312" w:eastAsia="仿宋_GB2312" w:cs="仿宋_GB2312"/>
                <w:color w:val="auto"/>
                <w:kern w:val="0"/>
                <w:sz w:val="24"/>
                <w:szCs w:val="24"/>
                <w:lang w:val="en-US" w:eastAsia="zh-CN"/>
              </w:rPr>
            </w:pPr>
            <w:r>
              <w:rPr>
                <w:rFonts w:hint="eastAsia" w:ascii="仿宋_GB2312" w:hAnsi="仿宋_GB2312" w:eastAsia="仿宋_GB2312" w:cs="仿宋_GB2312"/>
                <w:color w:val="auto"/>
                <w:sz w:val="24"/>
                <w:szCs w:val="24"/>
                <w:lang w:val="en-US" w:eastAsia="zh-CN"/>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exact"/>
          <w:jc w:val="center"/>
        </w:trPr>
        <w:tc>
          <w:tcPr>
            <w:tcW w:w="754" w:type="dxa"/>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sz w:val="24"/>
                <w:szCs w:val="24"/>
              </w:rPr>
              <w:t>2</w:t>
            </w:r>
          </w:p>
        </w:tc>
        <w:tc>
          <w:tcPr>
            <w:tcW w:w="1245" w:type="dxa"/>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sz w:val="24"/>
                <w:szCs w:val="24"/>
              </w:rPr>
              <w:t>服务部分（</w:t>
            </w:r>
            <w:r>
              <w:rPr>
                <w:rFonts w:hint="eastAsia" w:ascii="仿宋_GB2312" w:hAnsi="仿宋_GB2312" w:eastAsia="仿宋_GB2312" w:cs="仿宋_GB2312"/>
                <w:color w:val="auto"/>
                <w:sz w:val="24"/>
                <w:szCs w:val="24"/>
                <w:lang w:val="en-US" w:eastAsia="zh-CN"/>
              </w:rPr>
              <w:t>7</w:t>
            </w:r>
            <w:r>
              <w:rPr>
                <w:rFonts w:hint="eastAsia" w:ascii="仿宋_GB2312" w:hAnsi="仿宋_GB2312" w:eastAsia="仿宋_GB2312" w:cs="仿宋_GB2312"/>
                <w:color w:val="auto"/>
                <w:sz w:val="24"/>
                <w:szCs w:val="24"/>
              </w:rPr>
              <w:t>0分）</w:t>
            </w:r>
          </w:p>
        </w:tc>
        <w:tc>
          <w:tcPr>
            <w:tcW w:w="1200" w:type="dxa"/>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商务评定</w:t>
            </w:r>
          </w:p>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sz w:val="24"/>
                <w:szCs w:val="24"/>
              </w:rPr>
              <w:t>（</w:t>
            </w:r>
            <w:r>
              <w:rPr>
                <w:rFonts w:hint="eastAsia" w:ascii="仿宋_GB2312" w:hAnsi="仿宋_GB2312" w:eastAsia="仿宋_GB2312" w:cs="仿宋_GB2312"/>
                <w:color w:val="auto"/>
                <w:sz w:val="24"/>
                <w:szCs w:val="24"/>
                <w:lang w:val="en-US" w:eastAsia="zh-CN"/>
              </w:rPr>
              <w:t>4</w:t>
            </w:r>
            <w:r>
              <w:rPr>
                <w:rFonts w:hint="eastAsia" w:ascii="仿宋_GB2312" w:hAnsi="仿宋_GB2312" w:eastAsia="仿宋_GB2312" w:cs="仿宋_GB2312"/>
                <w:color w:val="auto"/>
                <w:sz w:val="24"/>
                <w:szCs w:val="24"/>
              </w:rPr>
              <w:t>0分）</w:t>
            </w:r>
          </w:p>
        </w:tc>
        <w:tc>
          <w:tcPr>
            <w:tcW w:w="4644"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textAlignment w:val="auto"/>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kern w:val="0"/>
                <w:sz w:val="24"/>
                <w:szCs w:val="24"/>
              </w:rPr>
              <w:t>根据投标</w:t>
            </w:r>
            <w:r>
              <w:rPr>
                <w:rFonts w:hint="eastAsia" w:ascii="仿宋_GB2312" w:hAnsi="仿宋_GB2312" w:eastAsia="仿宋_GB2312" w:cs="仿宋_GB2312"/>
                <w:color w:val="auto"/>
                <w:kern w:val="0"/>
                <w:sz w:val="24"/>
                <w:szCs w:val="24"/>
                <w:lang w:eastAsia="zh-CN"/>
              </w:rPr>
              <w:t>单位</w:t>
            </w:r>
            <w:r>
              <w:rPr>
                <w:rFonts w:hint="eastAsia" w:ascii="仿宋_GB2312" w:hAnsi="仿宋_GB2312" w:eastAsia="仿宋_GB2312" w:cs="仿宋_GB2312"/>
                <w:color w:val="auto"/>
                <w:kern w:val="0"/>
                <w:sz w:val="24"/>
                <w:szCs w:val="24"/>
                <w:lang w:val="en-US" w:eastAsia="zh-CN"/>
              </w:rPr>
              <w:t>管理规范、信誉度、</w:t>
            </w:r>
            <w:r>
              <w:rPr>
                <w:rFonts w:hint="eastAsia" w:ascii="仿宋_GB2312" w:hAnsi="仿宋_GB2312" w:eastAsia="仿宋_GB2312" w:cs="仿宋_GB2312"/>
                <w:color w:val="auto"/>
                <w:kern w:val="0"/>
                <w:sz w:val="24"/>
                <w:szCs w:val="24"/>
              </w:rPr>
              <w:t>荣誉资质</w:t>
            </w:r>
            <w:r>
              <w:rPr>
                <w:rFonts w:hint="eastAsia" w:ascii="仿宋_GB2312" w:hAnsi="仿宋_GB2312" w:eastAsia="仿宋_GB2312" w:cs="仿宋_GB2312"/>
                <w:color w:val="auto"/>
                <w:kern w:val="0"/>
                <w:sz w:val="24"/>
                <w:szCs w:val="24"/>
                <w:lang w:eastAsia="zh-CN"/>
              </w:rPr>
              <w:t>、社会评价</w:t>
            </w:r>
            <w:r>
              <w:rPr>
                <w:rFonts w:hint="eastAsia" w:ascii="仿宋_GB2312" w:hAnsi="仿宋_GB2312" w:eastAsia="仿宋_GB2312" w:cs="仿宋_GB2312"/>
                <w:color w:val="auto"/>
                <w:kern w:val="0"/>
                <w:sz w:val="24"/>
                <w:szCs w:val="24"/>
              </w:rPr>
              <w:t>等综合实力进行综合比较。优10-8分，良7-5分，一般4分以下。</w:t>
            </w:r>
          </w:p>
        </w:tc>
        <w:tc>
          <w:tcPr>
            <w:tcW w:w="935"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hAnsi="仿宋_GB2312" w:eastAsia="仿宋_GB2312" w:cs="仿宋_GB2312"/>
                <w:color w:val="auto"/>
                <w:kern w:val="0"/>
                <w:sz w:val="24"/>
                <w:szCs w:val="24"/>
                <w:lang w:val="en-US" w:eastAsia="zh-CN"/>
              </w:rPr>
            </w:pPr>
            <w:r>
              <w:rPr>
                <w:rFonts w:hint="eastAsia" w:ascii="仿宋_GB2312" w:hAnsi="仿宋_GB2312" w:eastAsia="仿宋_GB2312" w:cs="仿宋_GB2312"/>
                <w:color w:val="auto"/>
                <w:sz w:val="24"/>
                <w:szCs w:val="24"/>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exact"/>
          <w:jc w:val="center"/>
        </w:trPr>
        <w:tc>
          <w:tcPr>
            <w:tcW w:w="754" w:type="dxa"/>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hAnsi="仿宋_GB2312" w:eastAsia="仿宋_GB2312" w:cs="仿宋_GB2312"/>
                <w:color w:val="auto"/>
                <w:kern w:val="0"/>
                <w:sz w:val="24"/>
                <w:szCs w:val="24"/>
              </w:rPr>
            </w:pPr>
          </w:p>
        </w:tc>
        <w:tc>
          <w:tcPr>
            <w:tcW w:w="1245" w:type="dxa"/>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textAlignment w:val="auto"/>
              <w:rPr>
                <w:rFonts w:hint="eastAsia" w:ascii="仿宋_GB2312" w:hAnsi="仿宋_GB2312" w:eastAsia="仿宋_GB2312" w:cs="仿宋_GB2312"/>
                <w:color w:val="auto"/>
                <w:kern w:val="0"/>
                <w:sz w:val="24"/>
                <w:szCs w:val="24"/>
              </w:rPr>
            </w:pPr>
          </w:p>
        </w:tc>
        <w:tc>
          <w:tcPr>
            <w:tcW w:w="1200" w:type="dxa"/>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hAnsi="仿宋_GB2312" w:eastAsia="仿宋_GB2312" w:cs="仿宋_GB2312"/>
                <w:color w:val="auto"/>
                <w:kern w:val="0"/>
                <w:sz w:val="24"/>
                <w:szCs w:val="24"/>
              </w:rPr>
            </w:pPr>
          </w:p>
        </w:tc>
        <w:tc>
          <w:tcPr>
            <w:tcW w:w="4644"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对投标</w:t>
            </w:r>
            <w:r>
              <w:rPr>
                <w:rFonts w:hint="eastAsia" w:ascii="仿宋_GB2312" w:hAnsi="仿宋_GB2312" w:eastAsia="仿宋_GB2312" w:cs="仿宋_GB2312"/>
                <w:color w:val="auto"/>
                <w:sz w:val="24"/>
                <w:szCs w:val="24"/>
                <w:lang w:eastAsia="zh-CN"/>
              </w:rPr>
              <w:t>单位</w:t>
            </w:r>
            <w:r>
              <w:rPr>
                <w:rFonts w:hint="eastAsia" w:ascii="仿宋_GB2312" w:hAnsi="仿宋_GB2312" w:eastAsia="仿宋_GB2312" w:cs="仿宋_GB2312"/>
                <w:color w:val="auto"/>
                <w:sz w:val="24"/>
                <w:szCs w:val="24"/>
              </w:rPr>
              <w:t>项目经验</w:t>
            </w:r>
            <w:r>
              <w:rPr>
                <w:rFonts w:hint="eastAsia" w:ascii="仿宋_GB2312" w:hAnsi="仿宋_GB2312" w:eastAsia="仿宋_GB2312" w:cs="仿宋_GB2312"/>
                <w:color w:val="auto"/>
                <w:sz w:val="24"/>
                <w:szCs w:val="24"/>
                <w:lang w:val="en-US" w:eastAsia="zh-CN"/>
              </w:rPr>
              <w:t>进</w:t>
            </w:r>
            <w:r>
              <w:rPr>
                <w:rFonts w:hint="eastAsia" w:ascii="仿宋_GB2312" w:hAnsi="仿宋_GB2312" w:eastAsia="仿宋_GB2312" w:cs="仿宋_GB2312"/>
                <w:color w:val="auto"/>
                <w:sz w:val="24"/>
                <w:szCs w:val="24"/>
              </w:rPr>
              <w:t>行评价，需提供近三年参与同类项目合同证明。</w:t>
            </w:r>
          </w:p>
          <w:p>
            <w:pPr>
              <w:keepNext w:val="0"/>
              <w:keepLines w:val="0"/>
              <w:pageBreakBefore w:val="0"/>
              <w:widowControl/>
              <w:kinsoku/>
              <w:wordWrap/>
              <w:overflowPunct/>
              <w:topLinePunct w:val="0"/>
              <w:autoSpaceDE/>
              <w:autoSpaceDN/>
              <w:bidi w:val="0"/>
              <w:adjustRightInd w:val="0"/>
              <w:snapToGrid w:val="0"/>
              <w:spacing w:after="0" w:line="240" w:lineRule="auto"/>
              <w:textAlignment w:val="auto"/>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sz w:val="24"/>
                <w:szCs w:val="24"/>
              </w:rPr>
              <w:t>标准为：</w:t>
            </w:r>
            <w:r>
              <w:rPr>
                <w:rFonts w:hint="eastAsia" w:ascii="仿宋_GB2312" w:hAnsi="仿宋_GB2312" w:eastAsia="仿宋_GB2312" w:cs="仿宋_GB2312"/>
                <w:color w:val="auto"/>
                <w:sz w:val="24"/>
                <w:szCs w:val="24"/>
                <w:lang w:val="en-US" w:eastAsia="zh-CN"/>
              </w:rPr>
              <w:t>每个服务项目可得5分，该项最高得30分。</w:t>
            </w:r>
          </w:p>
        </w:tc>
        <w:tc>
          <w:tcPr>
            <w:tcW w:w="935"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default" w:ascii="仿宋_GB2312" w:hAnsi="仿宋_GB2312" w:eastAsia="仿宋_GB2312" w:cs="仿宋_GB2312"/>
                <w:color w:val="auto"/>
                <w:kern w:val="0"/>
                <w:sz w:val="24"/>
                <w:szCs w:val="24"/>
                <w:lang w:val="en-US" w:eastAsia="zh-CN"/>
              </w:rPr>
            </w:pPr>
            <w:r>
              <w:rPr>
                <w:rFonts w:hint="eastAsia" w:ascii="仿宋_GB2312" w:hAnsi="仿宋_GB2312" w:eastAsia="仿宋_GB2312" w:cs="仿宋_GB2312"/>
                <w:color w:val="auto"/>
                <w:sz w:val="24"/>
                <w:szCs w:val="24"/>
                <w:lang w:val="en-US" w:eastAsia="zh-CN"/>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exact"/>
          <w:jc w:val="center"/>
        </w:trPr>
        <w:tc>
          <w:tcPr>
            <w:tcW w:w="754" w:type="dxa"/>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hAnsi="仿宋_GB2312" w:eastAsia="仿宋_GB2312" w:cs="仿宋_GB2312"/>
                <w:color w:val="auto"/>
                <w:kern w:val="0"/>
                <w:sz w:val="24"/>
                <w:szCs w:val="24"/>
              </w:rPr>
            </w:pPr>
            <w:r>
              <w:rPr>
                <w:rFonts w:hint="eastAsia" w:ascii="仿宋_GB2312" w:hAnsi="仿宋_GB2312" w:eastAsia="仿宋_GB2312" w:cs="仿宋_GB2312"/>
                <w:color w:val="auto"/>
                <w:sz w:val="24"/>
                <w:szCs w:val="24"/>
              </w:rPr>
              <w:t>3</w:t>
            </w:r>
          </w:p>
        </w:tc>
        <w:tc>
          <w:tcPr>
            <w:tcW w:w="1245" w:type="dxa"/>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textAlignment w:val="auto"/>
              <w:rPr>
                <w:rFonts w:hint="eastAsia" w:ascii="仿宋_GB2312" w:hAnsi="仿宋_GB2312" w:eastAsia="仿宋_GB2312" w:cs="仿宋_GB2312"/>
                <w:color w:val="auto"/>
                <w:sz w:val="24"/>
                <w:szCs w:val="24"/>
              </w:rPr>
            </w:pPr>
          </w:p>
        </w:tc>
        <w:tc>
          <w:tcPr>
            <w:tcW w:w="1200" w:type="dxa"/>
            <w:vMerge w:val="restart"/>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技术评定</w:t>
            </w:r>
          </w:p>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w:t>
            </w:r>
            <w:r>
              <w:rPr>
                <w:rFonts w:hint="eastAsia" w:ascii="仿宋_GB2312" w:hAnsi="仿宋_GB2312" w:eastAsia="仿宋_GB2312" w:cs="仿宋_GB2312"/>
                <w:color w:val="auto"/>
                <w:sz w:val="24"/>
                <w:szCs w:val="24"/>
                <w:lang w:val="en-US" w:eastAsia="zh-CN"/>
              </w:rPr>
              <w:t>3</w:t>
            </w:r>
            <w:r>
              <w:rPr>
                <w:rFonts w:hint="eastAsia" w:ascii="仿宋_GB2312" w:hAnsi="仿宋_GB2312" w:eastAsia="仿宋_GB2312" w:cs="仿宋_GB2312"/>
                <w:color w:val="auto"/>
                <w:sz w:val="24"/>
                <w:szCs w:val="24"/>
              </w:rPr>
              <w:t>0分）</w:t>
            </w:r>
          </w:p>
        </w:tc>
        <w:tc>
          <w:tcPr>
            <w:tcW w:w="4644"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根据投标</w:t>
            </w:r>
            <w:r>
              <w:rPr>
                <w:rFonts w:hint="eastAsia" w:ascii="仿宋_GB2312" w:hAnsi="仿宋_GB2312" w:eastAsia="仿宋_GB2312" w:cs="仿宋_GB2312"/>
                <w:color w:val="auto"/>
                <w:sz w:val="24"/>
                <w:szCs w:val="24"/>
                <w:lang w:eastAsia="zh-CN"/>
              </w:rPr>
              <w:t>单位</w:t>
            </w:r>
            <w:r>
              <w:rPr>
                <w:rFonts w:hint="eastAsia" w:ascii="仿宋_GB2312" w:hAnsi="仿宋_GB2312" w:eastAsia="仿宋_GB2312" w:cs="仿宋_GB2312"/>
                <w:color w:val="auto"/>
                <w:sz w:val="24"/>
                <w:szCs w:val="24"/>
              </w:rPr>
              <w:t>对项目的认识及理解、对项目重点分析把握，进行综合比较。优10-8分，良7-5分，一般4分以下。</w:t>
            </w:r>
          </w:p>
        </w:tc>
        <w:tc>
          <w:tcPr>
            <w:tcW w:w="935"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exact"/>
          <w:jc w:val="center"/>
        </w:trPr>
        <w:tc>
          <w:tcPr>
            <w:tcW w:w="754" w:type="dxa"/>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hAnsi="仿宋_GB2312" w:eastAsia="仿宋_GB2312" w:cs="仿宋_GB2312"/>
                <w:color w:val="auto"/>
                <w:sz w:val="24"/>
                <w:szCs w:val="24"/>
              </w:rPr>
            </w:pPr>
          </w:p>
        </w:tc>
        <w:tc>
          <w:tcPr>
            <w:tcW w:w="1245" w:type="dxa"/>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textAlignment w:val="auto"/>
              <w:rPr>
                <w:rFonts w:hint="eastAsia" w:ascii="仿宋_GB2312" w:hAnsi="仿宋_GB2312" w:eastAsia="仿宋_GB2312" w:cs="仿宋_GB2312"/>
                <w:color w:val="auto"/>
                <w:sz w:val="24"/>
                <w:szCs w:val="24"/>
              </w:rPr>
            </w:pPr>
          </w:p>
        </w:tc>
        <w:tc>
          <w:tcPr>
            <w:tcW w:w="1200" w:type="dxa"/>
            <w:vMerge w:val="continue"/>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hAnsi="仿宋_GB2312" w:eastAsia="仿宋_GB2312" w:cs="仿宋_GB2312"/>
                <w:color w:val="auto"/>
                <w:sz w:val="24"/>
                <w:szCs w:val="24"/>
              </w:rPr>
            </w:pPr>
          </w:p>
        </w:tc>
        <w:tc>
          <w:tcPr>
            <w:tcW w:w="4644" w:type="dxa"/>
            <w:noWrap w:val="0"/>
            <w:vAlign w:val="center"/>
          </w:tcPr>
          <w:p>
            <w:pPr>
              <w:keepNext w:val="0"/>
              <w:keepLines w:val="0"/>
              <w:pageBreakBefore w:val="0"/>
              <w:widowControl/>
              <w:tabs>
                <w:tab w:val="left" w:pos="312"/>
              </w:tabs>
              <w:kinsoku/>
              <w:wordWrap/>
              <w:overflowPunct/>
              <w:topLinePunct w:val="0"/>
              <w:autoSpaceDE/>
              <w:autoSpaceDN/>
              <w:bidi w:val="0"/>
              <w:adjustRightInd w:val="0"/>
              <w:snapToGrid w:val="0"/>
              <w:spacing w:after="0" w:line="240" w:lineRule="auto"/>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根据投标</w:t>
            </w:r>
            <w:r>
              <w:rPr>
                <w:rFonts w:hint="eastAsia" w:ascii="仿宋_GB2312" w:hAnsi="仿宋_GB2312" w:eastAsia="仿宋_GB2312" w:cs="仿宋_GB2312"/>
                <w:color w:val="auto"/>
                <w:sz w:val="24"/>
                <w:szCs w:val="24"/>
                <w:lang w:eastAsia="zh-CN"/>
              </w:rPr>
              <w:t>单位</w:t>
            </w:r>
            <w:r>
              <w:rPr>
                <w:rFonts w:hint="eastAsia" w:ascii="仿宋_GB2312" w:hAnsi="仿宋_GB2312" w:eastAsia="仿宋_GB2312" w:cs="仿宋_GB2312"/>
                <w:color w:val="auto"/>
                <w:sz w:val="24"/>
                <w:szCs w:val="24"/>
              </w:rPr>
              <w:t>的服务方案，包括运营团队人员架构是否完善，策划设计、流程节点、实施计划等是否完善周到、可行，进行综合比较。优20-14分，良13-7分，一般6分以下。</w:t>
            </w:r>
          </w:p>
        </w:tc>
        <w:tc>
          <w:tcPr>
            <w:tcW w:w="935" w:type="dxa"/>
            <w:noWrap w:val="0"/>
            <w:vAlign w:val="center"/>
          </w:tcPr>
          <w:p>
            <w:pPr>
              <w:keepNext w:val="0"/>
              <w:keepLines w:val="0"/>
              <w:pageBreakBefore w:val="0"/>
              <w:widowControl/>
              <w:kinsoku/>
              <w:wordWrap/>
              <w:overflowPunct/>
              <w:topLinePunct w:val="0"/>
              <w:autoSpaceDE/>
              <w:autoSpaceDN/>
              <w:bidi w:val="0"/>
              <w:adjustRightInd w:val="0"/>
              <w:snapToGrid w:val="0"/>
              <w:spacing w:after="0" w:line="240" w:lineRule="auto"/>
              <w:jc w:val="center"/>
              <w:textAlignment w:val="auto"/>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7" w:hRule="exact"/>
          <w:jc w:val="center"/>
        </w:trPr>
        <w:tc>
          <w:tcPr>
            <w:tcW w:w="7843" w:type="dxa"/>
            <w:gridSpan w:val="4"/>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合  计</w:t>
            </w:r>
          </w:p>
        </w:tc>
        <w:tc>
          <w:tcPr>
            <w:tcW w:w="935" w:type="dxa"/>
            <w:noWrap w:val="0"/>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100</w:t>
            </w:r>
          </w:p>
        </w:tc>
      </w:tr>
    </w:tbl>
    <w:p>
      <w:pPr>
        <w:rPr>
          <w:rFonts w:hint="eastAsia" w:ascii="仿宋_GB2312" w:hAnsi="仿宋_GB2312" w:eastAsia="仿宋_GB2312" w:cs="仿宋_GB2312"/>
          <w:sz w:val="24"/>
          <w:szCs w:val="24"/>
        </w:rPr>
      </w:pPr>
    </w:p>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Fonts w:hint="eastAsia"/>
                            </w:rPr>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2"/>
                      <w:rPr>
                        <w:rFonts w:hint="eastAsia"/>
                      </w:rPr>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gzMDQzMTA1NGNiYzFmMGJkZTc2NGVjZWJkY2VhMjcifQ=="/>
  </w:docVars>
  <w:rsids>
    <w:rsidRoot w:val="0A4C57DA"/>
    <w:rsid w:val="0A4C57DA"/>
    <w:rsid w:val="0B365878"/>
    <w:rsid w:val="128B66BB"/>
    <w:rsid w:val="26E248EC"/>
    <w:rsid w:val="449328CD"/>
    <w:rsid w:val="47D278DB"/>
    <w:rsid w:val="4FF84D7B"/>
    <w:rsid w:val="507907D5"/>
    <w:rsid w:val="523C209A"/>
    <w:rsid w:val="76E5271E"/>
    <w:rsid w:val="7C497DD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江门市医保局</Company>
  <Pages>1</Pages>
  <Words>355</Words>
  <Characters>386</Characters>
  <Lines>0</Lines>
  <Paragraphs>0</Paragraphs>
  <TotalTime>6</TotalTime>
  <ScaleCrop>false</ScaleCrop>
  <LinksUpToDate>false</LinksUpToDate>
  <CharactersWithSpaces>443</CharactersWithSpaces>
  <Application>WPS Office_11.8.2.10912_F1E327BC-269C-435d-A152-05C5408002CA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2023-09-18T02:35:00Z</dcterms:created>
  <dc:creator>杨美霞</dc:creator>
  <cp:lastModifiedBy>何慧欣</cp:lastModifiedBy>
  <cp:lastPrinted>2024-10-17T08:05:13Z</cp:lastPrinted>
  <dcterms:modified xsi:type="dcterms:W3CDTF">2024-10-17T08:05:26Z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2052-11.8.2.10912</vt:lpwstr>
  </property>
  <property fmtid="{D5CDD505-2E9C-101B-9397-08002B2CF9AE}" pid="3" name="ICV">
    <vt:lpwstr>0E4E1C71504C497CA5C6AC713D675EDD_13</vt:lpwstr>
  </property>
</Properties>
</file>