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color w:val="auto"/>
          <w:sz w:val="28"/>
          <w:szCs w:val="28"/>
          <w:highlight w:val="none"/>
          <w:lang w:val="en-US" w:eastAsia="zh-CN"/>
        </w:rPr>
      </w:pPr>
      <w:bookmarkStart w:id="2" w:name="_GoBack"/>
      <w:bookmarkEnd w:id="2"/>
      <w:r>
        <w:rPr>
          <w:rFonts w:hint="eastAsia" w:ascii="黑体" w:hAnsi="黑体" w:eastAsia="黑体" w:cs="黑体"/>
          <w:b/>
          <w:bCs/>
          <w:color w:val="auto"/>
          <w:sz w:val="28"/>
          <w:szCs w:val="28"/>
          <w:highlight w:val="none"/>
        </w:rPr>
        <w:t>附件</w:t>
      </w:r>
      <w:r>
        <w:rPr>
          <w:rFonts w:hint="eastAsia" w:ascii="黑体" w:hAnsi="黑体" w:eastAsia="黑体" w:cs="黑体"/>
          <w:b/>
          <w:bCs/>
          <w:color w:val="auto"/>
          <w:sz w:val="28"/>
          <w:szCs w:val="28"/>
          <w:highlight w:val="none"/>
          <w:lang w:val="en-US" w:eastAsia="zh-CN"/>
        </w:rPr>
        <w:t>:</w:t>
      </w:r>
    </w:p>
    <w:p>
      <w:pPr>
        <w:jc w:val="center"/>
        <w:rPr>
          <w:rFonts w:hint="eastAsia" w:asciiTheme="minorEastAsia" w:hAnsiTheme="minorEastAsia" w:eastAsiaTheme="minorEastAsia" w:cstheme="minorEastAsia"/>
          <w:b/>
          <w:bCs/>
          <w:color w:val="auto"/>
          <w:sz w:val="44"/>
          <w:szCs w:val="44"/>
          <w:highlight w:val="none"/>
        </w:rPr>
      </w:pPr>
      <w:r>
        <w:rPr>
          <w:rFonts w:hint="eastAsia" w:asciiTheme="minorEastAsia" w:hAnsiTheme="minorEastAsia" w:eastAsiaTheme="minorEastAsia" w:cstheme="minorEastAsia"/>
          <w:b/>
          <w:bCs/>
          <w:color w:val="auto"/>
          <w:sz w:val="44"/>
          <w:szCs w:val="44"/>
          <w:highlight w:val="none"/>
        </w:rPr>
        <w:t>遴选代理机构评分表</w:t>
      </w:r>
    </w:p>
    <w:tbl>
      <w:tblPr>
        <w:tblStyle w:val="7"/>
        <w:tblW w:w="10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572"/>
        <w:gridCol w:w="6759"/>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95"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序号</w:t>
            </w:r>
          </w:p>
        </w:tc>
        <w:tc>
          <w:tcPr>
            <w:tcW w:w="1572"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评审内容</w:t>
            </w:r>
          </w:p>
        </w:tc>
        <w:tc>
          <w:tcPr>
            <w:tcW w:w="6759"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评审指标</w:t>
            </w:r>
          </w:p>
        </w:tc>
        <w:tc>
          <w:tcPr>
            <w:tcW w:w="926"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95" w:type="dxa"/>
            <w:shd w:val="clear" w:color="auto" w:fill="auto"/>
            <w:vAlign w:val="center"/>
          </w:tcPr>
          <w:p>
            <w:pPr>
              <w:widowControl/>
              <w:spacing w:line="48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1572" w:type="dxa"/>
            <w:shd w:val="clear" w:color="auto" w:fill="auto"/>
            <w:vAlign w:val="center"/>
          </w:tcPr>
          <w:p>
            <w:pPr>
              <w:pStyle w:val="3"/>
              <w:spacing w:line="48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服务方案</w:t>
            </w:r>
          </w:p>
        </w:tc>
        <w:tc>
          <w:tcPr>
            <w:tcW w:w="6759" w:type="dxa"/>
            <w:shd w:val="clear" w:color="auto" w:fill="auto"/>
            <w:vAlign w:val="center"/>
          </w:tcPr>
          <w:p>
            <w:pPr>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根据代理机构提供的服务方案进行评审。</w:t>
            </w:r>
          </w:p>
          <w:p>
            <w:pPr>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1、服务方案专业规范、合理、可行，服务质量保证措施完善，满足项目实施需要的，得</w:t>
            </w: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30</w:t>
            </w:r>
            <w:r>
              <w:rPr>
                <w:rFonts w:hint="eastAsia" w:ascii="宋体" w:hAnsi="宋体" w:eastAsia="宋体" w:cs="宋体"/>
                <w:color w:val="auto"/>
                <w:sz w:val="24"/>
                <w:szCs w:val="24"/>
                <w:highlight w:val="none"/>
              </w:rPr>
              <w:t>分；</w:t>
            </w:r>
          </w:p>
          <w:p>
            <w:pPr>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2、服务方案较专业规范、较合理、较可行，服务质量保证措施较完善，较好满足项目实施需要的，得</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auto"/>
                <w:sz w:val="24"/>
                <w:szCs w:val="24"/>
                <w:highlight w:val="none"/>
              </w:rPr>
              <w:t>分；</w:t>
            </w:r>
          </w:p>
          <w:p>
            <w:pPr>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3、服务方案基本专业规范、基本合理、基本可行，服务质量保证措施基本完善，基本满足项目实施需要的，得</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p>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4、未提供服务方案的，得0分。</w:t>
            </w:r>
          </w:p>
        </w:tc>
        <w:tc>
          <w:tcPr>
            <w:tcW w:w="926"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30</w:t>
            </w:r>
            <w:r>
              <w:rPr>
                <w:rFonts w:hint="eastAsia" w:ascii="宋体" w:hAnsi="宋体" w:eastAsia="宋体" w:cs="宋体"/>
                <w:b/>
                <w:bCs/>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95" w:type="dxa"/>
            <w:shd w:val="clear" w:color="auto" w:fill="auto"/>
            <w:vAlign w:val="center"/>
          </w:tcPr>
          <w:p>
            <w:pPr>
              <w:widowControl/>
              <w:spacing w:line="48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1572" w:type="dxa"/>
            <w:shd w:val="clear" w:color="auto" w:fill="auto"/>
            <w:vAlign w:val="center"/>
          </w:tcPr>
          <w:p>
            <w:pPr>
              <w:pStyle w:val="3"/>
              <w:spacing w:line="48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规章管理制度</w:t>
            </w:r>
          </w:p>
        </w:tc>
        <w:tc>
          <w:tcPr>
            <w:tcW w:w="6759" w:type="dxa"/>
            <w:shd w:val="clear" w:color="auto" w:fill="auto"/>
            <w:vAlign w:val="center"/>
          </w:tcPr>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根据代理机构提供的各项规章管理制度进行评审。</w:t>
            </w:r>
          </w:p>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1、规章管理制度健全、完善的，得</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auto"/>
                <w:sz w:val="24"/>
                <w:szCs w:val="24"/>
                <w:highlight w:val="none"/>
              </w:rPr>
              <w:t>分；</w:t>
            </w:r>
          </w:p>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2、规章管理制度较健全、完善的，得</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p>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3、规章管理制度基本健全、完善的，得</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w:t>
            </w:r>
          </w:p>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未</w:t>
            </w:r>
            <w:r>
              <w:rPr>
                <w:rFonts w:hint="eastAsia" w:ascii="宋体" w:hAnsi="宋体" w:eastAsia="宋体" w:cs="宋体"/>
                <w:color w:val="auto"/>
                <w:sz w:val="24"/>
                <w:szCs w:val="24"/>
                <w:highlight w:val="none"/>
              </w:rPr>
              <w:t>提供相关描述的，得0分。</w:t>
            </w:r>
          </w:p>
        </w:tc>
        <w:tc>
          <w:tcPr>
            <w:tcW w:w="926"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5</w:t>
            </w:r>
            <w:r>
              <w:rPr>
                <w:rFonts w:hint="eastAsia" w:ascii="宋体" w:hAnsi="宋体" w:eastAsia="宋体" w:cs="宋体"/>
                <w:b/>
                <w:bCs/>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95" w:type="dxa"/>
            <w:shd w:val="clear" w:color="auto" w:fill="auto"/>
            <w:vAlign w:val="center"/>
          </w:tcPr>
          <w:p>
            <w:pPr>
              <w:widowControl/>
              <w:spacing w:line="48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1572" w:type="dxa"/>
            <w:shd w:val="clear" w:color="auto" w:fill="auto"/>
            <w:vAlign w:val="center"/>
          </w:tcPr>
          <w:p>
            <w:pPr>
              <w:jc w:val="center"/>
              <w:rPr>
                <w:rFonts w:hint="eastAsia" w:ascii="宋体" w:hAnsi="宋体" w:eastAsia="宋体" w:cs="宋体"/>
                <w:color w:val="auto"/>
                <w:kern w:val="2"/>
                <w:sz w:val="24"/>
                <w:szCs w:val="24"/>
                <w:highlight w:val="none"/>
                <w:lang w:val="en-US" w:eastAsia="zh-CN" w:bidi="ar-SA"/>
              </w:rPr>
            </w:pPr>
          </w:p>
          <w:p>
            <w:pPr>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企业资信</w:t>
            </w:r>
            <w:r>
              <w:rPr>
                <w:rFonts w:hint="eastAsia" w:ascii="宋体" w:hAnsi="宋体" w:eastAsia="宋体" w:cs="宋体"/>
                <w:color w:val="auto"/>
                <w:kern w:val="2"/>
                <w:sz w:val="24"/>
                <w:szCs w:val="24"/>
                <w:highlight w:val="none"/>
                <w:lang w:val="en-US" w:eastAsia="zh-CN" w:bidi="ar-SA"/>
              </w:rPr>
              <w:br w:type="textWrapping"/>
            </w:r>
          </w:p>
        </w:tc>
        <w:tc>
          <w:tcPr>
            <w:tcW w:w="6759" w:type="dxa"/>
            <w:shd w:val="clear" w:color="auto" w:fill="auto"/>
            <w:vAlign w:val="center"/>
          </w:tcPr>
          <w:p>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1、投标人具有工程招标代理类资信证书的得2分，提供证书复印件并加盖投标人公章。</w:t>
            </w:r>
          </w:p>
        </w:tc>
        <w:tc>
          <w:tcPr>
            <w:tcW w:w="926" w:type="dxa"/>
            <w:shd w:val="clear" w:color="auto" w:fill="auto"/>
            <w:vAlign w:val="center"/>
          </w:tcPr>
          <w:p>
            <w:pPr>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95" w:type="dxa"/>
            <w:shd w:val="clear" w:color="auto" w:fill="auto"/>
            <w:vAlign w:val="center"/>
          </w:tcPr>
          <w:p>
            <w:pPr>
              <w:widowControl/>
              <w:spacing w:line="48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1572" w:type="dxa"/>
            <w:shd w:val="clear" w:color="auto" w:fill="auto"/>
            <w:vAlign w:val="center"/>
          </w:tcPr>
          <w:p>
            <w:pPr>
              <w:pStyle w:val="3"/>
              <w:spacing w:line="48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服务团队人员配备情况</w:t>
            </w:r>
          </w:p>
        </w:tc>
        <w:tc>
          <w:tcPr>
            <w:tcW w:w="6759" w:type="dxa"/>
            <w:shd w:val="clear" w:color="auto" w:fill="auto"/>
            <w:vAlign w:val="center"/>
          </w:tcPr>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根据代理机构拟投入的服务团队人员配备情况进行评审。</w:t>
            </w:r>
          </w:p>
          <w:p>
            <w:pPr>
              <w:pStyle w:val="11"/>
              <w:numPr>
                <w:ilvl w:val="0"/>
                <w:numId w:val="0"/>
              </w:numPr>
              <w:spacing w:line="360" w:lineRule="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1、项目负责人资历（5分）：</w:t>
            </w:r>
          </w:p>
          <w:p>
            <w:pPr>
              <w:pStyle w:val="11"/>
              <w:numPr>
                <w:ilvl w:val="0"/>
                <w:numId w:val="0"/>
              </w:numPr>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（1）项目负责人具有具有（工程或工程相关专业类）中级（或以上）职称证书得1分；具有（工程或工程相关专业类）高级（或以上）职称证书得2分。本项最高2分；</w:t>
            </w:r>
          </w:p>
          <w:p>
            <w:pPr>
              <w:pStyle w:val="11"/>
              <w:numPr>
                <w:ilvl w:val="0"/>
                <w:numId w:val="0"/>
              </w:numPr>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（2）项目负责人同时具有建造、造价、监理类执业资格证书的得3分。本项目最高3分。</w:t>
            </w:r>
          </w:p>
          <w:p>
            <w:pPr>
              <w:pStyle w:val="3"/>
              <w:numPr>
                <w:ilvl w:val="0"/>
                <w:numId w:val="1"/>
              </w:numPr>
              <w:spacing w:line="480" w:lineRule="exact"/>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投入项目其他人员配置（13分）：</w:t>
            </w:r>
          </w:p>
          <w:p>
            <w:pPr>
              <w:pStyle w:val="11"/>
              <w:numPr>
                <w:ilvl w:val="0"/>
                <w:numId w:val="0"/>
              </w:numPr>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（1）投入项目其他人员（除项目负责人外）具有（工程或工程相关专业类）中级（或以上）职称证书的得2分; 具有（工程或工程相关专业类）高级（或以上）职称证书的得5分；本项最高5分；</w:t>
            </w:r>
          </w:p>
          <w:p>
            <w:pPr>
              <w:pStyle w:val="11"/>
              <w:numPr>
                <w:ilvl w:val="0"/>
                <w:numId w:val="0"/>
              </w:numPr>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 投入项目其他人员（除项目负责人外）具有建造、造价、监理类执业资格证书，同时具有2个或以上类别证书得4分；、具有1个类别证书的得1分。本项最高8分。</w:t>
            </w:r>
          </w:p>
          <w:p>
            <w:pPr>
              <w:pStyle w:val="3"/>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注：提供上述人员的相关证书（证明）、202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月份以来任意一个月代理机构为上述服务团队人员在服务机构购买社保的社保凭证复印件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2"/>
                <w:sz w:val="24"/>
                <w:szCs w:val="24"/>
                <w:highlight w:val="none"/>
                <w:lang w:val="en-US" w:eastAsia="zh-CN" w:bidi="ar-SA"/>
              </w:rPr>
              <w:t>如退休人员则提供退休证明复印件及与投标单位劳动合</w:t>
            </w:r>
            <w:r>
              <w:rPr>
                <w:rFonts w:hint="eastAsia" w:ascii="宋体" w:hAnsi="宋体" w:eastAsia="宋体" w:cs="宋体"/>
                <w:color w:val="auto"/>
                <w:sz w:val="24"/>
                <w:szCs w:val="24"/>
                <w:highlight w:val="none"/>
              </w:rPr>
              <w:t>并加盖代理机构单位公章，</w:t>
            </w:r>
            <w:r>
              <w:rPr>
                <w:rFonts w:hint="eastAsia" w:ascii="宋体" w:hAnsi="宋体" w:eastAsia="宋体" w:cs="宋体"/>
                <w:color w:val="auto"/>
                <w:sz w:val="24"/>
                <w:szCs w:val="24"/>
                <w:highlight w:val="none"/>
                <w:lang w:eastAsia="zh-CN"/>
              </w:rPr>
              <w:t>未</w:t>
            </w:r>
            <w:r>
              <w:rPr>
                <w:rFonts w:hint="eastAsia" w:ascii="宋体" w:hAnsi="宋体" w:eastAsia="宋体" w:cs="宋体"/>
                <w:color w:val="auto"/>
                <w:sz w:val="24"/>
                <w:szCs w:val="24"/>
                <w:highlight w:val="none"/>
              </w:rPr>
              <w:t>提供不得分。</w:t>
            </w:r>
          </w:p>
        </w:tc>
        <w:tc>
          <w:tcPr>
            <w:tcW w:w="926"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eastAsia="宋体" w:cs="宋体"/>
                <w:b/>
                <w:bCs/>
                <w:color w:val="auto"/>
                <w:kern w:val="0"/>
                <w:sz w:val="24"/>
                <w:szCs w:val="24"/>
                <w:highlight w:val="none"/>
                <w:lang w:val="en-US" w:eastAsia="zh-CN"/>
              </w:rPr>
              <w:t>8</w:t>
            </w:r>
            <w:r>
              <w:rPr>
                <w:rFonts w:hint="eastAsia" w:ascii="宋体" w:hAnsi="宋体" w:eastAsia="宋体" w:cs="宋体"/>
                <w:b/>
                <w:bCs/>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95" w:type="dxa"/>
            <w:shd w:val="clear" w:color="auto" w:fill="auto"/>
            <w:vAlign w:val="center"/>
          </w:tcPr>
          <w:p>
            <w:pPr>
              <w:widowControl/>
              <w:spacing w:line="48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1572" w:type="dxa"/>
            <w:shd w:val="clear" w:color="auto" w:fill="auto"/>
            <w:vAlign w:val="center"/>
          </w:tcPr>
          <w:p>
            <w:pPr>
              <w:pStyle w:val="3"/>
              <w:spacing w:line="48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代理业绩情况</w:t>
            </w:r>
          </w:p>
        </w:tc>
        <w:tc>
          <w:tcPr>
            <w:tcW w:w="6759" w:type="dxa"/>
            <w:shd w:val="clear" w:color="auto" w:fill="auto"/>
            <w:vAlign w:val="center"/>
          </w:tcPr>
          <w:p>
            <w:pPr>
              <w:pStyle w:val="3"/>
              <w:spacing w:line="48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2021年至今，</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以代理合同日期为准）工程招投标项目业绩：                                             </w:t>
            </w:r>
            <w:r>
              <w:rPr>
                <w:rFonts w:hint="eastAsia" w:ascii="宋体" w:hAnsi="宋体" w:eastAsia="宋体" w:cs="宋体"/>
                <w:color w:val="auto"/>
                <w:sz w:val="24"/>
                <w:szCs w:val="24"/>
                <w:highlight w:val="none"/>
                <w:lang w:val="en-US" w:eastAsia="zh-CN"/>
              </w:rPr>
              <w:t xml:space="preserve">             </w:t>
            </w:r>
          </w:p>
          <w:p>
            <w:pPr>
              <w:pStyle w:val="3"/>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单个不同单位工程招投标项目（中标金额1000万元以上）的，每个得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w:t>
            </w:r>
          </w:p>
          <w:p>
            <w:pPr>
              <w:pStyle w:val="3"/>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单个不同单位工程招投标项目（中标金额3000万元以上）的，每个得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w:t>
            </w:r>
          </w:p>
          <w:p>
            <w:pPr>
              <w:pStyle w:val="3"/>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单个不同单位工程招投标项目（中标金额5000万元以上）的，每个得</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分。（同单位多个项目只计算最高分值）本项最高得</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                                          注：提供中标通知书、代理合同或协议书复印件等并加盖投标人公章。</w:t>
            </w:r>
          </w:p>
        </w:tc>
        <w:tc>
          <w:tcPr>
            <w:tcW w:w="926"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20</w:t>
            </w:r>
            <w:r>
              <w:rPr>
                <w:rFonts w:hint="eastAsia" w:ascii="宋体" w:hAnsi="宋体" w:eastAsia="宋体" w:cs="宋体"/>
                <w:b/>
                <w:bCs/>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995" w:type="dxa"/>
            <w:shd w:val="clear" w:color="auto" w:fill="auto"/>
            <w:vAlign w:val="center"/>
          </w:tcPr>
          <w:p>
            <w:pPr>
              <w:widowControl/>
              <w:spacing w:line="48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1572" w:type="dxa"/>
            <w:shd w:val="clear" w:color="auto" w:fill="auto"/>
            <w:vAlign w:val="center"/>
          </w:tcPr>
          <w:p>
            <w:pPr>
              <w:pStyle w:val="3"/>
              <w:spacing w:line="480" w:lineRule="exact"/>
              <w:jc w:val="center"/>
              <w:rPr>
                <w:rFonts w:hint="eastAsia" w:ascii="宋体" w:hAnsi="宋体" w:eastAsia="宋体" w:cs="宋体"/>
                <w:color w:val="auto"/>
                <w:sz w:val="24"/>
                <w:szCs w:val="24"/>
                <w:highlight w:val="none"/>
              </w:rPr>
            </w:pPr>
            <w:bookmarkStart w:id="0" w:name="OLE_LINK3"/>
            <w:r>
              <w:rPr>
                <w:rFonts w:hint="eastAsia" w:ascii="宋体" w:hAnsi="宋体" w:eastAsia="宋体" w:cs="宋体"/>
                <w:color w:val="auto"/>
                <w:sz w:val="24"/>
                <w:szCs w:val="24"/>
                <w:highlight w:val="none"/>
              </w:rPr>
              <w:t>法律保障</w:t>
            </w:r>
            <w:bookmarkEnd w:id="0"/>
          </w:p>
        </w:tc>
        <w:tc>
          <w:tcPr>
            <w:tcW w:w="6759" w:type="dxa"/>
            <w:shd w:val="clear" w:color="auto" w:fill="auto"/>
            <w:vAlign w:val="center"/>
          </w:tcPr>
          <w:p>
            <w:pPr>
              <w:pStyle w:val="3"/>
              <w:spacing w:line="480" w:lineRule="exact"/>
              <w:ind w:firstLine="480" w:firstLineChars="200"/>
              <w:jc w:val="left"/>
              <w:rPr>
                <w:rFonts w:hint="eastAsia" w:ascii="宋体" w:hAnsi="宋体" w:eastAsia="宋体" w:cs="宋体"/>
                <w:color w:val="auto"/>
                <w:sz w:val="24"/>
                <w:szCs w:val="24"/>
                <w:highlight w:val="none"/>
              </w:rPr>
            </w:pPr>
            <w:bookmarkStart w:id="1" w:name="OLE_LINK2"/>
            <w:r>
              <w:rPr>
                <w:rFonts w:hint="eastAsia" w:ascii="宋体" w:hAnsi="宋体" w:eastAsia="宋体" w:cs="宋体"/>
                <w:color w:val="auto"/>
                <w:sz w:val="24"/>
                <w:szCs w:val="24"/>
                <w:highlight w:val="none"/>
              </w:rPr>
              <w:t>代理机构</w:t>
            </w:r>
            <w:bookmarkEnd w:id="1"/>
            <w:r>
              <w:rPr>
                <w:rFonts w:hint="eastAsia" w:ascii="宋体" w:hAnsi="宋体" w:eastAsia="宋体" w:cs="宋体"/>
                <w:color w:val="auto"/>
                <w:sz w:val="24"/>
                <w:szCs w:val="24"/>
                <w:highlight w:val="none"/>
              </w:rPr>
              <w:t>聘任律师事务所法律顾问，为招标</w:t>
            </w:r>
            <w:r>
              <w:rPr>
                <w:rFonts w:hint="eastAsia" w:ascii="宋体" w:hAnsi="宋体" w:eastAsia="宋体" w:cs="宋体"/>
                <w:color w:val="auto"/>
                <w:sz w:val="24"/>
                <w:szCs w:val="24"/>
                <w:highlight w:val="none"/>
                <w:lang w:val="en-US" w:eastAsia="zh-CN"/>
              </w:rPr>
              <w:t>招标</w:t>
            </w:r>
            <w:r>
              <w:rPr>
                <w:rFonts w:hint="eastAsia" w:ascii="宋体" w:hAnsi="宋体" w:eastAsia="宋体" w:cs="宋体"/>
                <w:color w:val="auto"/>
                <w:sz w:val="24"/>
                <w:szCs w:val="24"/>
                <w:highlight w:val="none"/>
              </w:rPr>
              <w:t>代理提供法律咨询的，得</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分，没有的不得分。本项最高得分为</w:t>
            </w:r>
            <w:r>
              <w:rPr>
                <w:rFonts w:hint="eastAsia"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w:t>
            </w:r>
          </w:p>
          <w:p>
            <w:pPr>
              <w:pStyle w:val="3"/>
              <w:spacing w:line="48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注：需提供有效的代理机构与律师事务所签订的合同复印件并加盖代理机构单位公章，</w:t>
            </w:r>
            <w:r>
              <w:rPr>
                <w:rFonts w:hint="eastAsia" w:ascii="宋体" w:hAnsi="宋体" w:eastAsia="宋体" w:cs="宋体"/>
                <w:color w:val="auto"/>
                <w:sz w:val="24"/>
                <w:szCs w:val="24"/>
                <w:highlight w:val="none"/>
                <w:lang w:eastAsia="zh-CN"/>
              </w:rPr>
              <w:t>未</w:t>
            </w:r>
            <w:r>
              <w:rPr>
                <w:rFonts w:hint="eastAsia" w:ascii="宋体" w:hAnsi="宋体" w:eastAsia="宋体" w:cs="宋体"/>
                <w:color w:val="auto"/>
                <w:sz w:val="24"/>
                <w:szCs w:val="24"/>
                <w:highlight w:val="none"/>
              </w:rPr>
              <w:t>提供不得分。</w:t>
            </w:r>
          </w:p>
        </w:tc>
        <w:tc>
          <w:tcPr>
            <w:tcW w:w="926" w:type="dxa"/>
            <w:shd w:val="clear" w:color="auto" w:fill="auto"/>
            <w:vAlign w:val="center"/>
          </w:tcPr>
          <w:p>
            <w:pPr>
              <w:widowControl/>
              <w:spacing w:line="48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5</w:t>
            </w:r>
            <w:r>
              <w:rPr>
                <w:rFonts w:hint="eastAsia" w:ascii="宋体" w:hAnsi="宋体" w:eastAsia="宋体" w:cs="宋体"/>
                <w:b/>
                <w:bCs/>
                <w:color w:val="auto"/>
                <w:kern w:val="0"/>
                <w:sz w:val="24"/>
                <w:szCs w:val="24"/>
                <w:highlight w:val="none"/>
              </w:rPr>
              <w:t>分</w:t>
            </w:r>
          </w:p>
        </w:tc>
      </w:tr>
    </w:tbl>
    <w:p>
      <w:pPr>
        <w:rPr>
          <w:color w:val="auto"/>
          <w:highlight w:val="none"/>
        </w:rPr>
      </w:pPr>
    </w:p>
    <w:sectPr>
      <w:headerReference r:id="rId3" w:type="default"/>
      <w:footerReference r:id="rId4" w:type="default"/>
      <w:pgSz w:w="11906" w:h="16838"/>
      <w:pgMar w:top="1440" w:right="1800" w:bottom="1440" w:left="1800" w:header="851" w:footer="1220"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10"/>
                              <w:rFonts w:ascii="宋体" w:hAnsi="宋体"/>
                              <w:sz w:val="24"/>
                              <w:szCs w:val="24"/>
                            </w:rPr>
                          </w:pPr>
                          <w:r>
                            <w:rPr>
                              <w:rFonts w:ascii="宋体" w:hAnsi="宋体"/>
                              <w:sz w:val="24"/>
                              <w:szCs w:val="24"/>
                            </w:rPr>
                            <w:fldChar w:fldCharType="begin"/>
                          </w:r>
                          <w:r>
                            <w:rPr>
                              <w:rStyle w:val="10"/>
                              <w:rFonts w:ascii="宋体" w:hAnsi="宋体"/>
                              <w:sz w:val="24"/>
                              <w:szCs w:val="24"/>
                            </w:rPr>
                            <w:instrText xml:space="preserve">PAGE  </w:instrText>
                          </w:r>
                          <w:r>
                            <w:rPr>
                              <w:rFonts w:ascii="宋体" w:hAnsi="宋体"/>
                              <w:sz w:val="24"/>
                              <w:szCs w:val="24"/>
                            </w:rPr>
                            <w:fldChar w:fldCharType="separate"/>
                          </w:r>
                          <w:r>
                            <w:rPr>
                              <w:rStyle w:val="10"/>
                              <w:rFonts w:ascii="宋体" w:hAnsi="宋体"/>
                              <w:sz w:val="24"/>
                              <w:szCs w:val="24"/>
                            </w:rPr>
                            <w:t>- 2 -</w:t>
                          </w:r>
                          <w:r>
                            <w:rPr>
                              <w:rFonts w:ascii="宋体" w:hAnsi="宋体"/>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4"/>
                      <w:rPr>
                        <w:rStyle w:val="10"/>
                        <w:rFonts w:ascii="宋体" w:hAnsi="宋体"/>
                        <w:sz w:val="24"/>
                        <w:szCs w:val="24"/>
                      </w:rPr>
                    </w:pPr>
                    <w:r>
                      <w:rPr>
                        <w:rFonts w:ascii="宋体" w:hAnsi="宋体"/>
                        <w:sz w:val="24"/>
                        <w:szCs w:val="24"/>
                      </w:rPr>
                      <w:fldChar w:fldCharType="begin"/>
                    </w:r>
                    <w:r>
                      <w:rPr>
                        <w:rStyle w:val="10"/>
                        <w:rFonts w:ascii="宋体" w:hAnsi="宋体"/>
                        <w:sz w:val="24"/>
                        <w:szCs w:val="24"/>
                      </w:rPr>
                      <w:instrText xml:space="preserve">PAGE  </w:instrText>
                    </w:r>
                    <w:r>
                      <w:rPr>
                        <w:rFonts w:ascii="宋体" w:hAnsi="宋体"/>
                        <w:sz w:val="24"/>
                        <w:szCs w:val="24"/>
                      </w:rPr>
                      <w:fldChar w:fldCharType="separate"/>
                    </w:r>
                    <w:r>
                      <w:rPr>
                        <w:rStyle w:val="10"/>
                        <w:rFonts w:ascii="宋体" w:hAnsi="宋体"/>
                        <w:sz w:val="24"/>
                        <w:szCs w:val="24"/>
                      </w:rPr>
                      <w:t>- 2 -</w:t>
                    </w:r>
                    <w:r>
                      <w:rPr>
                        <w:rFonts w:ascii="宋体" w:hAnsi="宋体"/>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u w:val="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8A1621"/>
    <w:multiLevelType w:val="singleLevel"/>
    <w:tmpl w:val="418A162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32BB8"/>
    <w:rsid w:val="1F8D00D5"/>
    <w:rsid w:val="2A3A6F80"/>
    <w:rsid w:val="2B811129"/>
    <w:rsid w:val="5DE73D60"/>
    <w:rsid w:val="5F0B3BE8"/>
    <w:rsid w:val="71A16F46"/>
    <w:rsid w:val="738C1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Arial Unicode MS" w:hAnsi="Arial Unicode MS" w:eastAsia="Arial Unicode MS" w:cs="Arial Unicode MS"/>
      <w:sz w:val="72"/>
      <w:szCs w:val="72"/>
    </w:r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styleId="11">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2025-04-09T06:50:00Z</dcterms:created>
  <dc:creator>admin</dc:creator>
  <cp:lastModifiedBy>admin</cp:lastModifiedBy>
  <cp:lastPrinted>2025-04-09T08:46:00Z</cp:lastPrinted>
  <dcterms:modified xsi:type="dcterms:W3CDTF">2025-04-09T09:03:21Z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9B7E371C42A743F0A3D3BD2493BE215B</vt:lpwstr>
  </property>
</Properties>
</file>